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89E" w:rsidRPr="00F91C8E" w:rsidRDefault="00F91C8E" w:rsidP="003E4CBB">
      <w:pPr>
        <w:tabs>
          <w:tab w:val="left" w:pos="2660"/>
        </w:tabs>
        <w:jc w:val="center"/>
        <w:rPr>
          <w:rFonts w:ascii="Times New Roman" w:eastAsiaTheme="minorHAnsi" w:hAnsi="Times New Roman"/>
          <w:b/>
          <w:bCs/>
          <w:color w:val="1F6B5E"/>
          <w:sz w:val="36"/>
          <w:szCs w:val="36"/>
          <w:lang w:val="fr-FR" w:bidi="ar-SA"/>
        </w:rPr>
      </w:pPr>
      <w:r>
        <w:rPr>
          <w:rFonts w:ascii="Times New Roman" w:eastAsiaTheme="minorHAnsi" w:hAnsi="Times New Roman"/>
          <w:b/>
          <w:bCs/>
          <w:color w:val="1F6B5E"/>
          <w:sz w:val="36"/>
          <w:szCs w:val="36"/>
          <w:lang w:val="fr-FR" w:bidi="ar-SA"/>
        </w:rPr>
        <w:t xml:space="preserve"> </w:t>
      </w:r>
      <w:r w:rsidR="009B089E" w:rsidRPr="008644F6">
        <w:rPr>
          <w:rFonts w:ascii="Times New Roman" w:eastAsiaTheme="minorHAnsi" w:hAnsi="Times New Roman"/>
          <w:b/>
          <w:bCs/>
          <w:color w:val="1F6B5E"/>
          <w:sz w:val="36"/>
          <w:szCs w:val="36"/>
          <w:lang w:val="fr-FR" w:bidi="ar-SA"/>
        </w:rPr>
        <w:t>C</w:t>
      </w:r>
      <w:r w:rsidR="009B089E">
        <w:rPr>
          <w:rFonts w:ascii="Times New Roman" w:eastAsiaTheme="minorHAnsi" w:hAnsi="Times New Roman"/>
          <w:b/>
          <w:bCs/>
          <w:color w:val="1F6B5E"/>
          <w:sz w:val="36"/>
          <w:szCs w:val="36"/>
          <w:lang w:val="fr-FR" w:bidi="ar-SA"/>
        </w:rPr>
        <w:t>harte</w:t>
      </w:r>
      <w:r w:rsidR="009B089E" w:rsidRPr="008644F6">
        <w:rPr>
          <w:rFonts w:ascii="Times New Roman" w:eastAsiaTheme="minorHAnsi" w:hAnsi="Times New Roman"/>
          <w:b/>
          <w:bCs/>
          <w:color w:val="1F6B5E"/>
          <w:sz w:val="36"/>
          <w:szCs w:val="36"/>
          <w:lang w:val="fr-FR" w:bidi="ar-SA"/>
        </w:rPr>
        <w:t xml:space="preserve"> </w:t>
      </w:r>
      <w:r w:rsidR="009B089E">
        <w:rPr>
          <w:rFonts w:ascii="Times New Roman" w:eastAsiaTheme="minorHAnsi" w:hAnsi="Times New Roman"/>
          <w:b/>
          <w:bCs/>
          <w:color w:val="1F6B5E"/>
          <w:sz w:val="36"/>
          <w:szCs w:val="36"/>
          <w:lang w:val="fr-FR" w:bidi="ar-SA"/>
        </w:rPr>
        <w:t>d</w:t>
      </w:r>
      <w:r w:rsidR="009B089E" w:rsidRPr="008644F6">
        <w:rPr>
          <w:rFonts w:ascii="Times New Roman" w:eastAsiaTheme="minorHAnsi" w:hAnsi="Times New Roman"/>
          <w:b/>
          <w:bCs/>
          <w:color w:val="1F6B5E"/>
          <w:sz w:val="36"/>
          <w:szCs w:val="36"/>
          <w:lang w:val="fr-FR" w:bidi="ar-SA"/>
        </w:rPr>
        <w:t>’</w:t>
      </w:r>
      <w:r w:rsidR="009B089E">
        <w:rPr>
          <w:rFonts w:ascii="Times New Roman" w:eastAsiaTheme="minorHAnsi" w:hAnsi="Times New Roman"/>
          <w:b/>
          <w:bCs/>
          <w:color w:val="1F6B5E"/>
          <w:sz w:val="36"/>
          <w:szCs w:val="36"/>
          <w:lang w:val="fr-FR" w:bidi="ar-SA"/>
        </w:rPr>
        <w:t xml:space="preserve">éthique et </w:t>
      </w:r>
      <w:r w:rsidR="00C22D35">
        <w:rPr>
          <w:rFonts w:ascii="Times New Roman" w:eastAsiaTheme="minorHAnsi" w:hAnsi="Times New Roman"/>
          <w:b/>
          <w:bCs/>
          <w:color w:val="1F6B5E"/>
          <w:sz w:val="36"/>
          <w:szCs w:val="36"/>
          <w:lang w:val="fr-FR" w:bidi="ar-SA"/>
        </w:rPr>
        <w:t>de Déontologie</w:t>
      </w:r>
      <w:r w:rsidRPr="00F91C8E">
        <w:rPr>
          <w:lang w:val="fr-FR"/>
        </w:rPr>
        <w:t xml:space="preserve"> </w:t>
      </w:r>
      <w:r w:rsidRPr="00F91C8E">
        <w:rPr>
          <w:rFonts w:ascii="Times New Roman" w:eastAsiaTheme="minorHAnsi" w:hAnsi="Times New Roman"/>
          <w:b/>
          <w:bCs/>
          <w:color w:val="1F6B5E"/>
          <w:sz w:val="36"/>
          <w:szCs w:val="36"/>
          <w:lang w:val="fr-FR" w:bidi="ar-SA"/>
        </w:rPr>
        <w:t xml:space="preserve">de la publication et </w:t>
      </w:r>
      <w:r w:rsidR="00EF6149">
        <w:rPr>
          <w:rFonts w:ascii="Times New Roman" w:eastAsiaTheme="minorHAnsi" w:hAnsi="Times New Roman"/>
          <w:b/>
          <w:bCs/>
          <w:color w:val="1F6B5E"/>
          <w:sz w:val="36"/>
          <w:szCs w:val="36"/>
          <w:lang w:val="fr-FR" w:bidi="ar-SA"/>
        </w:rPr>
        <w:t>d</w:t>
      </w:r>
      <w:r w:rsidRPr="00F91C8E">
        <w:rPr>
          <w:rFonts w:ascii="Times New Roman" w:eastAsiaTheme="minorHAnsi" w:hAnsi="Times New Roman"/>
          <w:b/>
          <w:bCs/>
          <w:color w:val="1F6B5E"/>
          <w:sz w:val="36"/>
          <w:szCs w:val="36"/>
          <w:lang w:val="fr-FR" w:bidi="ar-SA"/>
        </w:rPr>
        <w:t>es mauvaises pratiques</w:t>
      </w:r>
      <w:r w:rsidR="00EF6149">
        <w:rPr>
          <w:rFonts w:ascii="Times New Roman" w:eastAsiaTheme="minorHAnsi" w:hAnsi="Times New Roman"/>
          <w:b/>
          <w:bCs/>
          <w:color w:val="1F6B5E"/>
          <w:sz w:val="36"/>
          <w:szCs w:val="36"/>
          <w:lang w:val="fr-FR" w:bidi="ar-SA"/>
        </w:rPr>
        <w:t xml:space="preserve"> </w:t>
      </w:r>
    </w:p>
    <w:p w:rsidR="00ED68C0" w:rsidRPr="00334DDA" w:rsidRDefault="00ED68C0" w:rsidP="003E4CBB">
      <w:pPr>
        <w:pStyle w:val="NormalWeb"/>
        <w:spacing w:before="0" w:beforeAutospacing="0" w:after="0" w:afterAutospacing="0"/>
        <w:jc w:val="both"/>
        <w:rPr>
          <w:color w:val="0E101A"/>
        </w:rPr>
      </w:pPr>
    </w:p>
    <w:p w:rsidR="00ED68C0" w:rsidRPr="00334DDA" w:rsidRDefault="00ED68C0" w:rsidP="003E4CBB">
      <w:pPr>
        <w:pStyle w:val="NormalWeb"/>
        <w:spacing w:before="0" w:beforeAutospacing="0" w:after="0" w:afterAutospacing="0"/>
        <w:jc w:val="both"/>
        <w:rPr>
          <w:color w:val="0E101A"/>
        </w:rPr>
      </w:pPr>
    </w:p>
    <w:p w:rsidR="003E4CBB" w:rsidRPr="003715BE" w:rsidRDefault="003E4CBB" w:rsidP="003E4CBB">
      <w:pPr>
        <w:pStyle w:val="NormalWeb"/>
        <w:spacing w:before="0" w:beforeAutospacing="0" w:after="0" w:afterAutospacing="0"/>
        <w:jc w:val="both"/>
        <w:rPr>
          <w:color w:val="0E101A"/>
        </w:rPr>
      </w:pPr>
      <w:r w:rsidRPr="003715BE">
        <w:rPr>
          <w:color w:val="0E101A"/>
        </w:rPr>
        <w:t xml:space="preserve">La </w:t>
      </w:r>
      <w:r>
        <w:rPr>
          <w:color w:val="0E101A"/>
        </w:rPr>
        <w:t>charte</w:t>
      </w:r>
      <w:r w:rsidRPr="003715BE">
        <w:rPr>
          <w:color w:val="0E101A"/>
        </w:rPr>
        <w:t xml:space="preserve"> suivante sur l'éthique de la publication et </w:t>
      </w:r>
      <w:r>
        <w:rPr>
          <w:color w:val="0E101A"/>
        </w:rPr>
        <w:t>d</w:t>
      </w:r>
      <w:r w:rsidRPr="003715BE">
        <w:rPr>
          <w:color w:val="0E101A"/>
        </w:rPr>
        <w:t>es mauvaises pratiques reflète la politique d</w:t>
      </w:r>
      <w:r>
        <w:rPr>
          <w:color w:val="0E101A"/>
        </w:rPr>
        <w:t xml:space="preserve">e la revue </w:t>
      </w:r>
      <w:r w:rsidRPr="003715BE">
        <w:rPr>
          <w:color w:val="0E101A"/>
        </w:rPr>
        <w:t>Traduction et Langues (</w:t>
      </w:r>
      <w:r w:rsidRPr="00F1117C">
        <w:rPr>
          <w:b/>
          <w:bCs/>
          <w:color w:val="0E101A"/>
        </w:rPr>
        <w:t>TRANSLANG</w:t>
      </w:r>
      <w:r w:rsidRPr="003715BE">
        <w:rPr>
          <w:color w:val="0E101A"/>
        </w:rPr>
        <w:t xml:space="preserve">) qui a été mise en place depuis sa création et est devenue plus visible après son intégration dans la Plateforme des </w:t>
      </w:r>
      <w:r>
        <w:rPr>
          <w:color w:val="0E101A"/>
        </w:rPr>
        <w:t xml:space="preserve">revues </w:t>
      </w:r>
      <w:r w:rsidRPr="003715BE">
        <w:rPr>
          <w:color w:val="0E101A"/>
        </w:rPr>
        <w:t>Scientifiques Algérien</w:t>
      </w:r>
      <w:r>
        <w:rPr>
          <w:color w:val="0E101A"/>
        </w:rPr>
        <w:t>ne</w:t>
      </w:r>
      <w:r w:rsidRPr="003715BE">
        <w:rPr>
          <w:color w:val="0E101A"/>
        </w:rPr>
        <w:t xml:space="preserve">s ASJP. </w:t>
      </w:r>
      <w:r w:rsidRPr="009C6B2F">
        <w:rPr>
          <w:b/>
          <w:bCs/>
          <w:color w:val="0E101A"/>
        </w:rPr>
        <w:t>TRANSLANG</w:t>
      </w:r>
      <w:r w:rsidRPr="003715BE">
        <w:rPr>
          <w:color w:val="0E101A"/>
        </w:rPr>
        <w:t xml:space="preserve"> suit un modèle de publication qui privilégie l'intégrité de la publication de la recherche en se basant principalement sur le code </w:t>
      </w:r>
      <w:r w:rsidRPr="00784CDB">
        <w:rPr>
          <w:color w:val="0E101A"/>
        </w:rPr>
        <w:t>d’Ethique et de Déontologie assurant la bonne pratique adressée aux rédacteurs de revues</w:t>
      </w:r>
      <w:r w:rsidRPr="003715BE">
        <w:rPr>
          <w:color w:val="0E101A"/>
        </w:rPr>
        <w:t xml:space="preserve"> (</w:t>
      </w:r>
      <w:r w:rsidRPr="00917A79">
        <w:rPr>
          <w:color w:val="0E101A"/>
        </w:rPr>
        <w:t>le Comité d'éthique de la publication</w:t>
      </w:r>
      <w:r w:rsidRPr="003715BE">
        <w:rPr>
          <w:color w:val="0E101A"/>
        </w:rPr>
        <w:t xml:space="preserve">, 2011).     </w:t>
      </w:r>
      <w:r>
        <w:rPr>
          <w:color w:val="0E101A"/>
        </w:rPr>
        <w:t xml:space="preserve">     </w:t>
      </w:r>
    </w:p>
    <w:p w:rsidR="003E4CBB" w:rsidRPr="003715BE" w:rsidRDefault="003E4CBB" w:rsidP="003E4CBB">
      <w:pPr>
        <w:pStyle w:val="NormalWeb"/>
        <w:spacing w:before="0" w:beforeAutospacing="0" w:after="0" w:afterAutospacing="0"/>
        <w:jc w:val="both"/>
        <w:rPr>
          <w:color w:val="0E101A"/>
        </w:rPr>
      </w:pPr>
      <w:r w:rsidRPr="00F1117C">
        <w:rPr>
          <w:b/>
          <w:bCs/>
          <w:color w:val="0E101A"/>
        </w:rPr>
        <w:t>TRANSLANG</w:t>
      </w:r>
      <w:r w:rsidRPr="003715BE">
        <w:rPr>
          <w:color w:val="0E101A"/>
        </w:rPr>
        <w:t xml:space="preserve"> publie des articles de recherche, des rapports et des études de cas originaux </w:t>
      </w:r>
      <w:r w:rsidRPr="0078149C">
        <w:rPr>
          <w:color w:val="0E101A"/>
        </w:rPr>
        <w:t>portant sur la traduction, l'interprétati</w:t>
      </w:r>
      <w:r>
        <w:rPr>
          <w:color w:val="0E101A"/>
        </w:rPr>
        <w:t xml:space="preserve">on et les études linguistiques, </w:t>
      </w:r>
      <w:r w:rsidRPr="0078149C">
        <w:rPr>
          <w:color w:val="0E101A"/>
        </w:rPr>
        <w:t>évalués selon la modalité</w:t>
      </w:r>
      <w:r>
        <w:rPr>
          <w:color w:val="0E101A"/>
        </w:rPr>
        <w:t xml:space="preserve"> de révision en double aveugle. </w:t>
      </w:r>
      <w:r w:rsidRPr="003715BE">
        <w:rPr>
          <w:color w:val="0E101A"/>
        </w:rPr>
        <w:t>Le contenu de la revue est en accès libre et est archivé à l'ASJP comme indiqué dans ce lien (https:// www.asjp.cerist. dz/en/Articles/155). Le contenu de la revue est disponible en</w:t>
      </w:r>
      <w:r>
        <w:rPr>
          <w:color w:val="0E101A"/>
        </w:rPr>
        <w:t xml:space="preserve"> ligne via </w:t>
      </w:r>
      <w:r w:rsidRPr="003715BE">
        <w:rPr>
          <w:color w:val="0E101A"/>
        </w:rPr>
        <w:t xml:space="preserve">ASJP, ce qui garantit la survie à long terme des publications savantes sur le Web. En outre, les publications resteront disponibles numériquement et gratuitement sous </w:t>
      </w:r>
      <w:r>
        <w:rPr>
          <w:color w:val="0E101A"/>
        </w:rPr>
        <w:t xml:space="preserve">la </w:t>
      </w:r>
      <w:r w:rsidRPr="003715BE">
        <w:rPr>
          <w:color w:val="0E101A"/>
        </w:rPr>
        <w:t xml:space="preserve">licence Creative Commons.    </w:t>
      </w:r>
      <w:r>
        <w:rPr>
          <w:color w:val="0E101A"/>
        </w:rPr>
        <w:t xml:space="preserve">  </w:t>
      </w:r>
      <w:r w:rsidRPr="003715BE">
        <w:rPr>
          <w:color w:val="0E101A"/>
        </w:rPr>
        <w:t xml:space="preserve"> </w:t>
      </w:r>
      <w:r>
        <w:rPr>
          <w:color w:val="0E101A"/>
        </w:rPr>
        <w:t xml:space="preserve">  </w:t>
      </w:r>
      <w:r w:rsidRPr="003715BE">
        <w:rPr>
          <w:color w:val="0E101A"/>
        </w:rPr>
        <w:t xml:space="preserve"> </w:t>
      </w:r>
      <w:r>
        <w:rPr>
          <w:color w:val="0E101A"/>
        </w:rPr>
        <w:t xml:space="preserve"> </w:t>
      </w:r>
      <w:r w:rsidRPr="003715BE">
        <w:rPr>
          <w:color w:val="0E101A"/>
        </w:rPr>
        <w:t xml:space="preserve">   </w:t>
      </w:r>
    </w:p>
    <w:p w:rsidR="003E4CBB" w:rsidRPr="00182A9B" w:rsidRDefault="003E4CBB" w:rsidP="003E4CBB">
      <w:pPr>
        <w:pStyle w:val="NormalWeb"/>
        <w:spacing w:before="0" w:beforeAutospacing="0" w:after="0" w:afterAutospacing="0"/>
        <w:jc w:val="both"/>
      </w:pPr>
      <w:r w:rsidRPr="003715BE">
        <w:rPr>
          <w:color w:val="0E101A"/>
        </w:rPr>
        <w:t xml:space="preserve">Le contenu de </w:t>
      </w:r>
      <w:r w:rsidRPr="006D6951">
        <w:rPr>
          <w:b/>
          <w:bCs/>
          <w:color w:val="0E101A"/>
        </w:rPr>
        <w:t>TRANSLANG</w:t>
      </w:r>
      <w:r w:rsidRPr="003715BE">
        <w:rPr>
          <w:color w:val="0E101A"/>
        </w:rPr>
        <w:t xml:space="preserve"> est sous </w:t>
      </w:r>
      <w:r>
        <w:rPr>
          <w:color w:val="0E101A"/>
        </w:rPr>
        <w:t xml:space="preserve">la </w:t>
      </w:r>
      <w:r w:rsidRPr="003715BE">
        <w:rPr>
          <w:color w:val="0E101A"/>
        </w:rPr>
        <w:t xml:space="preserve">licence Creative Commons Attribution-NonCommercial 4.0 International (CC BY-NC 4.0) qui </w:t>
      </w:r>
      <w:r w:rsidRPr="00F1117C">
        <w:rPr>
          <w:color w:val="0E101A"/>
        </w:rPr>
        <w:t>permet toute exploitation de l’œuvre (partager, copier, reproduire, distribuer, communiquer, réutiliser, adapter) par tous moyens, sous tous formats et sous toutes licences. Toutes les exploitations de l’œuvre ou des œuvres dérivées, sauf à des fins commerciales, sont possibles.</w:t>
      </w:r>
      <w:r>
        <w:rPr>
          <w:color w:val="0E101A"/>
        </w:rPr>
        <w:t xml:space="preserve"> </w:t>
      </w:r>
      <w:r w:rsidRPr="003715BE">
        <w:rPr>
          <w:color w:val="0E101A"/>
        </w:rPr>
        <w:t>Plus important encore, les droits de propriété intellectuelle des articles soumis demeurent ceux des contributeurs. En outre, la revue éditée par l'Université d'Oran2 Mohamed Ben Ahmed ne collabore avec aucune société d'édition privée pour promouvoir ses publications afin d'éviter toute publication trompeuse. TRANSLANG interdit l'utilisation ou la commercialisation du matériel publié pour des raisons commerciales.</w:t>
      </w:r>
      <w:r>
        <w:rPr>
          <w:color w:val="0E101A"/>
        </w:rPr>
        <w:t xml:space="preserve">  </w:t>
      </w:r>
    </w:p>
    <w:p w:rsidR="003E4CBB" w:rsidRPr="003715BE" w:rsidRDefault="003E4CBB" w:rsidP="003E4CBB">
      <w:pPr>
        <w:pStyle w:val="NormalWeb"/>
        <w:spacing w:before="0" w:beforeAutospacing="0" w:after="0" w:afterAutospacing="0"/>
        <w:jc w:val="both"/>
        <w:rPr>
          <w:color w:val="0E101A"/>
        </w:rPr>
      </w:pPr>
      <w:r w:rsidRPr="00275403">
        <w:rPr>
          <w:b/>
          <w:bCs/>
          <w:color w:val="0E101A"/>
        </w:rPr>
        <w:t>TRANSLANG</w:t>
      </w:r>
      <w:r w:rsidRPr="003715BE">
        <w:rPr>
          <w:color w:val="0E101A"/>
        </w:rPr>
        <w:t xml:space="preserve"> adhère aux politiques internationales en matière de plagiat. Les </w:t>
      </w:r>
      <w:r>
        <w:rPr>
          <w:color w:val="0E101A"/>
        </w:rPr>
        <w:t>éditeurs</w:t>
      </w:r>
      <w:r w:rsidRPr="003715BE">
        <w:rPr>
          <w:color w:val="0E101A"/>
        </w:rPr>
        <w:t xml:space="preserve"> se préparent au mieux à prévenir le plagiat et d'autres formes de fraude et d'inconduite dans l'édition universitaire. Un logiciel de détection d</w:t>
      </w:r>
      <w:r>
        <w:rPr>
          <w:color w:val="0E101A"/>
        </w:rPr>
        <w:t>e</w:t>
      </w:r>
      <w:r w:rsidRPr="003715BE">
        <w:rPr>
          <w:color w:val="0E101A"/>
        </w:rPr>
        <w:t xml:space="preserve"> plagiat fonctionne pour garantir l'originalité des manuscrits soumis à la détection du plagiat. Chaque manuscrit est soumis à une vérification du plagiat avant le processus d'examen par les pair</w:t>
      </w:r>
      <w:r>
        <w:rPr>
          <w:color w:val="0E101A"/>
        </w:rPr>
        <w:t>s. L'un</w:t>
      </w:r>
      <w:r w:rsidR="00AB7DF8">
        <w:rPr>
          <w:color w:val="0E101A"/>
        </w:rPr>
        <w:t xml:space="preserve"> des secrétaires est chargé</w:t>
      </w:r>
      <w:r w:rsidRPr="003715BE">
        <w:rPr>
          <w:color w:val="0E101A"/>
        </w:rPr>
        <w:t xml:space="preserve"> de vérifier les manuscrits en termes de plagiat. Une fois encore, la version finale des articles acceptés est vérifiée en termes de plagiat.     </w:t>
      </w:r>
      <w:r>
        <w:rPr>
          <w:color w:val="0E101A"/>
        </w:rPr>
        <w:t xml:space="preserve">  </w:t>
      </w:r>
      <w:r w:rsidRPr="003715BE">
        <w:rPr>
          <w:color w:val="0E101A"/>
        </w:rPr>
        <w:t xml:space="preserve"> </w:t>
      </w:r>
      <w:r>
        <w:rPr>
          <w:color w:val="0E101A"/>
        </w:rPr>
        <w:t xml:space="preserve"> </w:t>
      </w:r>
      <w:r w:rsidRPr="003715BE">
        <w:rPr>
          <w:color w:val="0E101A"/>
        </w:rPr>
        <w:t xml:space="preserve">     </w:t>
      </w:r>
    </w:p>
    <w:p w:rsidR="003E4CBB" w:rsidRPr="004D2FBC" w:rsidRDefault="003E4CBB" w:rsidP="003E4CBB">
      <w:pPr>
        <w:pStyle w:val="NormalWeb"/>
        <w:spacing w:before="0" w:beforeAutospacing="0" w:after="0" w:afterAutospacing="0"/>
        <w:jc w:val="both"/>
      </w:pPr>
      <w:r w:rsidRPr="00275403">
        <w:rPr>
          <w:b/>
          <w:bCs/>
          <w:color w:val="0E101A"/>
        </w:rPr>
        <w:t>TRANSLANG</w:t>
      </w:r>
      <w:r w:rsidRPr="003715BE">
        <w:rPr>
          <w:color w:val="0E101A"/>
        </w:rPr>
        <w:t xml:space="preserve"> fournit également des directives pour l'errata, la rétractation ou la correction des articles. La revue s'engage à corriger, dans les plus brefs délais, toute erreur réelle dans les travaux publiés signalée par les lecteurs, les auteurs ou les </w:t>
      </w:r>
      <w:r>
        <w:rPr>
          <w:color w:val="0E101A"/>
        </w:rPr>
        <w:t>édi</w:t>
      </w:r>
      <w:r w:rsidRPr="003715BE">
        <w:rPr>
          <w:color w:val="0E101A"/>
        </w:rPr>
        <w:t>teurs</w:t>
      </w:r>
      <w:r>
        <w:rPr>
          <w:color w:val="0E101A"/>
        </w:rPr>
        <w:t>-en- chef</w:t>
      </w:r>
      <w:r w:rsidRPr="003715BE">
        <w:rPr>
          <w:color w:val="0E101A"/>
        </w:rPr>
        <w:t>, qui ne rend pas le travail invalide. Un horodatage apparaîtra sur chaque article ayant fait l'</w:t>
      </w:r>
      <w:r>
        <w:rPr>
          <w:color w:val="0E101A"/>
        </w:rPr>
        <w:t xml:space="preserve">objet de corrections. L'éditeur-en-chef </w:t>
      </w:r>
      <w:r w:rsidRPr="003715BE">
        <w:rPr>
          <w:color w:val="0E101A"/>
        </w:rPr>
        <w:t>rétractera l'article avec une explication de la raison de la rétractation si le travail comporte des erreurs de défaut.</w:t>
      </w:r>
      <w:r>
        <w:rPr>
          <w:color w:val="0E101A"/>
        </w:rPr>
        <w:t xml:space="preserve">   </w:t>
      </w:r>
    </w:p>
    <w:p w:rsidR="003E4CBB" w:rsidRDefault="003E4CBB" w:rsidP="003E4CBB">
      <w:pPr>
        <w:pStyle w:val="NormalWeb"/>
        <w:spacing w:before="0" w:beforeAutospacing="0" w:after="0" w:afterAutospacing="0"/>
        <w:jc w:val="both"/>
        <w:rPr>
          <w:color w:val="0E101A"/>
        </w:rPr>
      </w:pPr>
      <w:r w:rsidRPr="003715BE">
        <w:rPr>
          <w:color w:val="0E101A"/>
        </w:rPr>
        <w:t xml:space="preserve">Tous les membres et les parties effectives du comité éditorial de la revue </w:t>
      </w:r>
      <w:r w:rsidRPr="00891248">
        <w:rPr>
          <w:b/>
          <w:bCs/>
          <w:color w:val="0E101A"/>
        </w:rPr>
        <w:t>TRANSLANG</w:t>
      </w:r>
      <w:r w:rsidRPr="003715BE">
        <w:rPr>
          <w:color w:val="0E101A"/>
        </w:rPr>
        <w:t xml:space="preserve"> doivent s'engager pleinement à respecter les bonnes pratiques de publication et accepter la responsabilité de remplir les </w:t>
      </w:r>
      <w:r>
        <w:rPr>
          <w:color w:val="0E101A"/>
        </w:rPr>
        <w:t xml:space="preserve">droits </w:t>
      </w:r>
      <w:r w:rsidRPr="003715BE">
        <w:rPr>
          <w:color w:val="0E101A"/>
        </w:rPr>
        <w:t xml:space="preserve">et </w:t>
      </w:r>
      <w:r>
        <w:rPr>
          <w:color w:val="0E101A"/>
        </w:rPr>
        <w:t>oblig</w:t>
      </w:r>
      <w:bookmarkStart w:id="0" w:name="_GoBack"/>
      <w:bookmarkEnd w:id="0"/>
      <w:r>
        <w:rPr>
          <w:color w:val="0E101A"/>
        </w:rPr>
        <w:t>ations</w:t>
      </w:r>
      <w:r w:rsidRPr="003715BE">
        <w:rPr>
          <w:color w:val="0E101A"/>
        </w:rPr>
        <w:t xml:space="preserve"> suivants définis par le COPE Committee on </w:t>
      </w:r>
      <w:r w:rsidRPr="003715BE">
        <w:rPr>
          <w:color w:val="0E101A"/>
        </w:rPr>
        <w:lastRenderedPageBreak/>
        <w:t xml:space="preserve">Publication Ethics et leurs mises à jour comme </w:t>
      </w:r>
      <w:r>
        <w:rPr>
          <w:color w:val="0E101A"/>
        </w:rPr>
        <w:t xml:space="preserve">indiqué dans ce lien </w:t>
      </w:r>
      <w:r w:rsidRPr="003715BE">
        <w:rPr>
          <w:color w:val="0E101A"/>
        </w:rPr>
        <w:t>(https://</w:t>
      </w:r>
      <w:r>
        <w:rPr>
          <w:color w:val="0E101A"/>
        </w:rPr>
        <w:t xml:space="preserve"> </w:t>
      </w:r>
      <w:r w:rsidRPr="003715BE">
        <w:rPr>
          <w:color w:val="0E101A"/>
        </w:rPr>
        <w:t>publicatione</w:t>
      </w:r>
      <w:r w:rsidR="00E10E01">
        <w:rPr>
          <w:color w:val="0E101A"/>
        </w:rPr>
        <w:t xml:space="preserve"> </w:t>
      </w:r>
      <w:r w:rsidRPr="003715BE">
        <w:rPr>
          <w:color w:val="0E101A"/>
        </w:rPr>
        <w:t xml:space="preserve">thics.org/). </w:t>
      </w:r>
      <w:r>
        <w:rPr>
          <w:color w:val="0E101A"/>
        </w:rPr>
        <w:t xml:space="preserve"> </w:t>
      </w:r>
    </w:p>
    <w:p w:rsidR="003E4CBB" w:rsidRPr="003715BE" w:rsidRDefault="003E4CBB" w:rsidP="003E4CBB">
      <w:pPr>
        <w:pStyle w:val="NormalWeb"/>
        <w:spacing w:before="0" w:beforeAutospacing="0" w:after="0" w:afterAutospacing="0"/>
        <w:jc w:val="both"/>
        <w:rPr>
          <w:color w:val="0E101A"/>
        </w:rPr>
      </w:pPr>
    </w:p>
    <w:p w:rsidR="003E4CBB" w:rsidRPr="004475E2" w:rsidRDefault="003E4CBB" w:rsidP="003E4CBB">
      <w:pPr>
        <w:pStyle w:val="NormalWeb"/>
        <w:spacing w:before="0" w:beforeAutospacing="0" w:after="0" w:afterAutospacing="0"/>
        <w:jc w:val="both"/>
        <w:rPr>
          <w:color w:val="0E101A"/>
          <w:lang w:val="en-US"/>
        </w:rPr>
      </w:pPr>
      <w:r w:rsidRPr="000C46E7">
        <w:rPr>
          <w:noProof/>
          <w:color w:val="000000"/>
          <w:szCs w:val="22"/>
        </w:rPr>
        <w:drawing>
          <wp:inline distT="0" distB="0" distL="0" distR="0" wp14:anchorId="2E993F0B" wp14:editId="48145A71">
            <wp:extent cx="3476625" cy="666750"/>
            <wp:effectExtent l="0" t="0" r="9525" b="0"/>
            <wp:docPr id="4" name="Image 4" descr="C:\Users\OUAHMICHE\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UAHMICHE\Desktop\downlo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6625" cy="666750"/>
                    </a:xfrm>
                    <a:prstGeom prst="rect">
                      <a:avLst/>
                    </a:prstGeom>
                    <a:noFill/>
                    <a:ln>
                      <a:noFill/>
                    </a:ln>
                  </pic:spPr>
                </pic:pic>
              </a:graphicData>
            </a:graphic>
          </wp:inline>
        </w:drawing>
      </w:r>
    </w:p>
    <w:p w:rsidR="003E4CBB" w:rsidRDefault="003E4CBB" w:rsidP="003E4CBB">
      <w:pPr>
        <w:pStyle w:val="NormalWeb"/>
        <w:spacing w:before="0" w:beforeAutospacing="0" w:after="0" w:afterAutospacing="0"/>
        <w:jc w:val="both"/>
        <w:rPr>
          <w:color w:val="0E101A"/>
          <w:lang w:val="en-US"/>
        </w:rPr>
      </w:pPr>
    </w:p>
    <w:p w:rsidR="003E4CBB" w:rsidRDefault="003E4CBB" w:rsidP="003E4CBB">
      <w:pPr>
        <w:pStyle w:val="NormalWeb"/>
        <w:spacing w:before="0" w:beforeAutospacing="0" w:after="0" w:afterAutospacing="0"/>
        <w:jc w:val="both"/>
        <w:rPr>
          <w:color w:val="0E101A"/>
        </w:rPr>
      </w:pPr>
      <w:r w:rsidRPr="003715BE">
        <w:rPr>
          <w:color w:val="0E101A"/>
        </w:rPr>
        <w:t>Ces principes sont reflétés dans les directives</w:t>
      </w:r>
      <w:r>
        <w:rPr>
          <w:color w:val="0E101A"/>
        </w:rPr>
        <w:t xml:space="preserve"> d’éthique</w:t>
      </w:r>
      <w:r w:rsidRPr="003715BE">
        <w:rPr>
          <w:color w:val="0E101A"/>
        </w:rPr>
        <w:t xml:space="preserve"> suivantes, qui sont organisées en fonction des responsabilités des auteurs, des </w:t>
      </w:r>
      <w:r>
        <w:rPr>
          <w:color w:val="0E101A"/>
        </w:rPr>
        <w:t xml:space="preserve">éditeurs-en-chef </w:t>
      </w:r>
      <w:r w:rsidRPr="003715BE">
        <w:rPr>
          <w:color w:val="0E101A"/>
        </w:rPr>
        <w:t xml:space="preserve">et des réviseurs.  </w:t>
      </w:r>
      <w:r>
        <w:rPr>
          <w:color w:val="0E101A"/>
        </w:rPr>
        <w:t xml:space="preserve"> </w:t>
      </w:r>
      <w:r w:rsidRPr="003715BE">
        <w:rPr>
          <w:color w:val="0E101A"/>
        </w:rPr>
        <w:t xml:space="preserve"> </w:t>
      </w:r>
      <w:r>
        <w:rPr>
          <w:color w:val="0E101A"/>
        </w:rPr>
        <w:t xml:space="preserve"> </w:t>
      </w:r>
    </w:p>
    <w:p w:rsidR="003E4CBB" w:rsidRPr="003715BE" w:rsidRDefault="003E4CBB" w:rsidP="003E4CBB">
      <w:pPr>
        <w:pStyle w:val="NormalWeb"/>
        <w:spacing w:before="0" w:beforeAutospacing="0" w:after="0" w:afterAutospacing="0"/>
        <w:jc w:val="both"/>
        <w:rPr>
          <w:color w:val="0E101A"/>
        </w:rPr>
      </w:pPr>
      <w:r w:rsidRPr="003715BE">
        <w:rPr>
          <w:color w:val="0E101A"/>
        </w:rPr>
        <w:t xml:space="preserve">    </w:t>
      </w:r>
    </w:p>
    <w:p w:rsidR="003E4CBB" w:rsidRPr="003715BE" w:rsidRDefault="003E4CBB" w:rsidP="003E4CBB">
      <w:pPr>
        <w:pStyle w:val="NormalWeb"/>
        <w:spacing w:before="0" w:beforeAutospacing="0" w:after="0" w:afterAutospacing="0"/>
        <w:jc w:val="both"/>
        <w:rPr>
          <w:color w:val="0E101A"/>
        </w:rPr>
      </w:pPr>
      <w:r w:rsidRPr="003715BE">
        <w:rPr>
          <w:rStyle w:val="Strong"/>
          <w:rFonts w:eastAsia="Calibri"/>
          <w:color w:val="0E101A"/>
        </w:rPr>
        <w:t xml:space="preserve">1. Obligations des Auteurs </w:t>
      </w:r>
      <w:r>
        <w:rPr>
          <w:rStyle w:val="Strong"/>
          <w:rFonts w:eastAsia="Calibri"/>
          <w:color w:val="0E101A"/>
        </w:rPr>
        <w:t xml:space="preserve"> </w:t>
      </w:r>
    </w:p>
    <w:p w:rsidR="003E4CBB" w:rsidRPr="003715BE" w:rsidRDefault="003E4CBB" w:rsidP="003E4CBB">
      <w:pPr>
        <w:pStyle w:val="NormalWeb"/>
        <w:spacing w:before="0" w:beforeAutospacing="0" w:after="0" w:afterAutospacing="0"/>
        <w:jc w:val="both"/>
        <w:rPr>
          <w:color w:val="0E101A"/>
        </w:rPr>
      </w:pPr>
      <w:r w:rsidRPr="003715BE">
        <w:rPr>
          <w:rStyle w:val="Strong"/>
          <w:rFonts w:eastAsia="Calibri"/>
          <w:color w:val="0E101A"/>
        </w:rPr>
        <w:t> </w:t>
      </w:r>
    </w:p>
    <w:tbl>
      <w:tblPr>
        <w:tblStyle w:val="TableGrid"/>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9062"/>
      </w:tblGrid>
      <w:tr w:rsidR="003E4CBB" w:rsidRPr="006424BA" w:rsidTr="006C42CF">
        <w:tc>
          <w:tcPr>
            <w:tcW w:w="9062" w:type="dxa"/>
          </w:tcPr>
          <w:p w:rsidR="003E4CBB" w:rsidRDefault="003E4CBB" w:rsidP="003E4CBB">
            <w:pPr>
              <w:bidi w:val="0"/>
              <w:spacing w:before="120" w:after="200"/>
              <w:contextualSpacing/>
              <w:jc w:val="both"/>
              <w:rPr>
                <w:rFonts w:ascii="Times New Roman" w:eastAsia="SimSun" w:hAnsi="Times New Roman"/>
                <w:b/>
                <w:bCs/>
                <w:noProof/>
                <w:color w:val="006666"/>
                <w:kern w:val="52"/>
                <w:lang w:val="fr-FR" w:eastAsia="ar-SA"/>
              </w:rPr>
            </w:pPr>
            <w:r w:rsidRPr="003715BE">
              <w:rPr>
                <w:rFonts w:ascii="Times New Roman" w:eastAsia="SimSun" w:hAnsi="Times New Roman"/>
                <w:b/>
                <w:bCs/>
                <w:noProof/>
                <w:color w:val="006666"/>
                <w:kern w:val="52"/>
                <w:lang w:val="fr-FR" w:eastAsia="ar-SA"/>
              </w:rPr>
              <w:t xml:space="preserve">Les manuscrits soumis pour publication doivent être basés sur des recherches originales et non publiées. Ils doivent inclure les données obtenues et utilisées </w:t>
            </w:r>
            <w:r>
              <w:rPr>
                <w:rFonts w:ascii="Times New Roman" w:eastAsia="SimSun" w:hAnsi="Times New Roman"/>
                <w:b/>
                <w:bCs/>
                <w:noProof/>
                <w:color w:val="006666"/>
                <w:kern w:val="52"/>
                <w:lang w:val="fr-FR" w:eastAsia="ar-SA"/>
              </w:rPr>
              <w:t>ainsi qu’</w:t>
            </w:r>
            <w:r w:rsidRPr="003715BE">
              <w:rPr>
                <w:rFonts w:ascii="Times New Roman" w:eastAsia="SimSun" w:hAnsi="Times New Roman"/>
                <w:b/>
                <w:bCs/>
                <w:noProof/>
                <w:color w:val="006666"/>
                <w:kern w:val="52"/>
                <w:lang w:val="fr-FR" w:eastAsia="ar-SA"/>
              </w:rPr>
              <w:t>une discussion objective des résultats. Ils doivent fournir suffisamment d'informations pour permettre à tout spécialiste de reproduire la recherche et de confirmer ou réfuter les interprétations défendues dans le manuscrit.</w:t>
            </w:r>
          </w:p>
          <w:p w:rsidR="003E4CBB" w:rsidRPr="003715BE" w:rsidRDefault="003E4CBB" w:rsidP="003E4CBB">
            <w:pPr>
              <w:bidi w:val="0"/>
              <w:spacing w:before="120" w:after="200"/>
              <w:contextualSpacing/>
              <w:jc w:val="both"/>
              <w:rPr>
                <w:rFonts w:ascii="Times New Roman" w:eastAsia="SimSun" w:hAnsi="Times New Roman"/>
                <w:b/>
                <w:bCs/>
                <w:noProof/>
                <w:color w:val="006666"/>
                <w:kern w:val="52"/>
                <w:sz w:val="16"/>
                <w:szCs w:val="16"/>
                <w:lang w:val="fr-FR" w:eastAsia="ar-SA"/>
              </w:rPr>
            </w:pPr>
          </w:p>
        </w:tc>
      </w:tr>
    </w:tbl>
    <w:p w:rsidR="003E4CBB" w:rsidRPr="00E02F5A" w:rsidRDefault="003E4CBB" w:rsidP="00E02F5A">
      <w:pPr>
        <w:pStyle w:val="NormalWeb"/>
        <w:spacing w:before="0" w:beforeAutospacing="0" w:after="0" w:afterAutospacing="0"/>
        <w:jc w:val="both"/>
        <w:rPr>
          <w:rStyle w:val="Strong"/>
          <w:b w:val="0"/>
          <w:bCs w:val="0"/>
          <w:color w:val="0E101A"/>
        </w:rPr>
      </w:pPr>
      <w:r w:rsidRPr="003715BE">
        <w:rPr>
          <w:rStyle w:val="Strong"/>
          <w:rFonts w:eastAsia="Calibri"/>
          <w:color w:val="0E101A"/>
        </w:rPr>
        <w:t> </w:t>
      </w:r>
    </w:p>
    <w:p w:rsidR="003E4CBB" w:rsidRPr="00594A98" w:rsidRDefault="003E4CBB" w:rsidP="003E4CBB">
      <w:pPr>
        <w:pStyle w:val="NormalWeb"/>
        <w:spacing w:before="0" w:beforeAutospacing="0" w:after="0" w:afterAutospacing="0"/>
        <w:jc w:val="both"/>
        <w:rPr>
          <w:rStyle w:val="Strong"/>
          <w:rFonts w:eastAsia="Calibri"/>
          <w:color w:val="0E101A"/>
        </w:rPr>
      </w:pPr>
      <w:r w:rsidRPr="00594A98">
        <w:rPr>
          <w:rStyle w:val="Strong"/>
          <w:rFonts w:eastAsia="Calibri"/>
          <w:color w:val="0E101A"/>
        </w:rPr>
        <w:t xml:space="preserve">Les auteurs doivent respecter les principes </w:t>
      </w:r>
      <w:r>
        <w:rPr>
          <w:rStyle w:val="Strong"/>
          <w:rFonts w:eastAsia="Calibri"/>
          <w:color w:val="0E101A"/>
        </w:rPr>
        <w:t xml:space="preserve">d’éthique </w:t>
      </w:r>
      <w:r w:rsidRPr="00594A98">
        <w:rPr>
          <w:rStyle w:val="Strong"/>
          <w:rFonts w:eastAsia="Calibri"/>
          <w:color w:val="0E101A"/>
        </w:rPr>
        <w:t xml:space="preserve">suivants : </w:t>
      </w:r>
      <w:r>
        <w:rPr>
          <w:rStyle w:val="Strong"/>
          <w:rFonts w:eastAsia="Calibri"/>
          <w:color w:val="0E101A"/>
        </w:rPr>
        <w:t xml:space="preserve">      </w:t>
      </w:r>
    </w:p>
    <w:p w:rsidR="003E4CBB" w:rsidRDefault="003E4CBB" w:rsidP="003E4CBB">
      <w:pPr>
        <w:pStyle w:val="NormalWeb"/>
        <w:spacing w:before="0" w:beforeAutospacing="0" w:after="0" w:afterAutospacing="0"/>
        <w:jc w:val="both"/>
        <w:rPr>
          <w:rStyle w:val="Strong"/>
          <w:rFonts w:eastAsia="Calibri"/>
          <w:b w:val="0"/>
          <w:bCs w:val="0"/>
          <w:color w:val="0E101A"/>
        </w:rPr>
      </w:pPr>
    </w:p>
    <w:p w:rsidR="003E4CBB" w:rsidRDefault="003E4CBB" w:rsidP="003E4CBB">
      <w:pPr>
        <w:pStyle w:val="NormalWeb"/>
        <w:numPr>
          <w:ilvl w:val="0"/>
          <w:numId w:val="33"/>
        </w:numPr>
        <w:spacing w:before="0" w:beforeAutospacing="0" w:after="0" w:afterAutospacing="0"/>
        <w:jc w:val="both"/>
        <w:rPr>
          <w:rStyle w:val="Strong"/>
          <w:rFonts w:eastAsia="Calibri"/>
          <w:b w:val="0"/>
          <w:bCs w:val="0"/>
          <w:color w:val="0E101A"/>
        </w:rPr>
      </w:pPr>
      <w:r w:rsidRPr="00D80CC3">
        <w:rPr>
          <w:rStyle w:val="Strong"/>
          <w:rFonts w:eastAsia="Calibri"/>
          <w:color w:val="0E101A"/>
        </w:rPr>
        <w:t>Normes de rapport</w:t>
      </w:r>
      <w:r w:rsidRPr="00D80CC3">
        <w:rPr>
          <w:rStyle w:val="Strong"/>
          <w:rFonts w:eastAsia="Calibri"/>
          <w:b w:val="0"/>
          <w:bCs w:val="0"/>
          <w:color w:val="0E101A"/>
        </w:rPr>
        <w:t xml:space="preserve"> : Les auteurs doivent présenter avec précision leur recherche originale, ainsi que discuter objectivement de son importance. Les manuscrits doivent être </w:t>
      </w:r>
      <w:r w:rsidRPr="009A3848">
        <w:rPr>
          <w:rStyle w:val="Strong"/>
          <w:rFonts w:eastAsia="Calibri"/>
          <w:b w:val="0"/>
          <w:bCs w:val="0"/>
          <w:color w:val="0E101A"/>
        </w:rPr>
        <w:t>édités</w:t>
      </w:r>
      <w:r w:rsidRPr="00D80CC3">
        <w:rPr>
          <w:rStyle w:val="Strong"/>
          <w:rFonts w:eastAsia="Calibri"/>
          <w:b w:val="0"/>
          <w:bCs w:val="0"/>
          <w:color w:val="0E101A"/>
        </w:rPr>
        <w:t xml:space="preserve"> conformément aux instructions de soumission de la revue. Les auteurs sont également responsables de la correction </w:t>
      </w:r>
      <w:r>
        <w:rPr>
          <w:rStyle w:val="Strong"/>
          <w:rFonts w:eastAsia="Calibri"/>
          <w:b w:val="0"/>
          <w:bCs w:val="0"/>
          <w:color w:val="0E101A"/>
        </w:rPr>
        <w:t xml:space="preserve">et la révision </w:t>
      </w:r>
      <w:r w:rsidRPr="00D80CC3">
        <w:rPr>
          <w:rStyle w:val="Strong"/>
          <w:rFonts w:eastAsia="Calibri"/>
          <w:b w:val="0"/>
          <w:bCs w:val="0"/>
          <w:color w:val="0E101A"/>
        </w:rPr>
        <w:t xml:space="preserve">de la langue avant de soumettre l'article. Les données sous-jacentes doivent être représentées avec précision dans le manuscrit. Un manuscrit devrait contenir suffisamment de détails et de références pour permettre à d'autres de reproduire le travail. Les déclarations frauduleuses ou sciemment inexactes constituent un comportement contraire à l'éthique et sont inacceptables.    </w:t>
      </w:r>
      <w:r>
        <w:rPr>
          <w:rStyle w:val="Strong"/>
          <w:rFonts w:eastAsia="Calibri"/>
          <w:b w:val="0"/>
          <w:bCs w:val="0"/>
          <w:color w:val="0E101A"/>
        </w:rPr>
        <w:t xml:space="preserve"> </w:t>
      </w:r>
    </w:p>
    <w:p w:rsidR="003E4CBB" w:rsidRDefault="003E4CBB" w:rsidP="003E4CBB">
      <w:pPr>
        <w:pStyle w:val="NormalWeb"/>
        <w:spacing w:before="0" w:beforeAutospacing="0" w:after="0" w:afterAutospacing="0"/>
        <w:ind w:left="720"/>
        <w:jc w:val="both"/>
        <w:rPr>
          <w:rStyle w:val="Strong"/>
          <w:rFonts w:eastAsia="Calibri"/>
          <w:b w:val="0"/>
          <w:bCs w:val="0"/>
          <w:color w:val="0E101A"/>
        </w:rPr>
      </w:pPr>
    </w:p>
    <w:p w:rsidR="003E4CBB" w:rsidRPr="009E7305" w:rsidRDefault="003E4CBB" w:rsidP="003E4CBB">
      <w:pPr>
        <w:pStyle w:val="NormalWeb"/>
        <w:numPr>
          <w:ilvl w:val="0"/>
          <w:numId w:val="33"/>
        </w:numPr>
        <w:spacing w:before="0" w:beforeAutospacing="0" w:after="0" w:afterAutospacing="0"/>
        <w:jc w:val="both"/>
        <w:rPr>
          <w:rFonts w:eastAsia="Calibri"/>
          <w:color w:val="0E101A"/>
        </w:rPr>
      </w:pPr>
      <w:r w:rsidRPr="00182A9B">
        <w:rPr>
          <w:b/>
          <w:bCs/>
        </w:rPr>
        <w:t xml:space="preserve">Originalité et Plagiat : </w:t>
      </w:r>
      <w:r w:rsidRPr="00182A9B">
        <w:rPr>
          <w:rFonts w:eastAsiaTheme="minorHAnsi"/>
        </w:rPr>
        <w:t>Les auteurs doivent garantir l’originalité de leur</w:t>
      </w:r>
      <w:r>
        <w:rPr>
          <w:rFonts w:eastAsiaTheme="minorHAnsi"/>
        </w:rPr>
        <w:t>s</w:t>
      </w:r>
      <w:r w:rsidRPr="00182A9B">
        <w:rPr>
          <w:rFonts w:eastAsiaTheme="minorHAnsi"/>
        </w:rPr>
        <w:t xml:space="preserve"> article</w:t>
      </w:r>
      <w:r>
        <w:rPr>
          <w:rFonts w:eastAsiaTheme="minorHAnsi"/>
        </w:rPr>
        <w:t>s</w:t>
      </w:r>
      <w:r w:rsidRPr="00182A9B">
        <w:rPr>
          <w:rFonts w:eastAsiaTheme="minorHAnsi"/>
        </w:rPr>
        <w:t xml:space="preserve"> et ne publier aucun texte qui s’apparenterait, sous quelque forme que ce soit, à de la contrefaçon telle que celle-ci est</w:t>
      </w:r>
      <w:r w:rsidRPr="00182A9B">
        <w:rPr>
          <w:rFonts w:eastAsia="SimSun"/>
          <w:bdr w:val="none" w:sz="0" w:space="0" w:color="auto" w:frame="1"/>
        </w:rPr>
        <w:t xml:space="preserve"> </w:t>
      </w:r>
      <w:r w:rsidRPr="00182A9B">
        <w:rPr>
          <w:rFonts w:eastAsiaTheme="minorHAnsi"/>
        </w:rPr>
        <w:t xml:space="preserve">définie par le Code de la propriété intellectuelle. </w:t>
      </w:r>
      <w:r w:rsidRPr="00954079">
        <w:rPr>
          <w:rFonts w:eastAsiaTheme="minorHAnsi"/>
        </w:rPr>
        <w:t>Tous les auteurs doivent s'assurer que les données et les résultats rapportés dans le</w:t>
      </w:r>
      <w:r>
        <w:rPr>
          <w:rFonts w:eastAsiaTheme="minorHAnsi"/>
        </w:rPr>
        <w:t xml:space="preserve">s manuscrits </w:t>
      </w:r>
      <w:r w:rsidRPr="00954079">
        <w:rPr>
          <w:rFonts w:eastAsiaTheme="minorHAnsi"/>
        </w:rPr>
        <w:t>sont originaux et n'ont pas été copiés, fabriqués, falsifiés ou manipulés.</w:t>
      </w:r>
      <w:r>
        <w:rPr>
          <w:rFonts w:eastAsia="Calibri"/>
          <w:color w:val="0E101A"/>
        </w:rPr>
        <w:t xml:space="preserve"> </w:t>
      </w:r>
      <w:r w:rsidRPr="00954079">
        <w:rPr>
          <w:rFonts w:eastAsiaTheme="minorHAnsi"/>
        </w:rPr>
        <w:t>Les déclarations frauduleuses ou</w:t>
      </w:r>
      <w:r w:rsidRPr="00954079">
        <w:rPr>
          <w:rFonts w:eastAsia="SimSun"/>
          <w:bdr w:val="none" w:sz="0" w:space="0" w:color="auto" w:frame="1"/>
        </w:rPr>
        <w:t xml:space="preserve"> </w:t>
      </w:r>
      <w:r w:rsidRPr="00954079">
        <w:rPr>
          <w:rFonts w:eastAsiaTheme="minorHAnsi"/>
        </w:rPr>
        <w:t>sciemment inexactes constituent un comportement contraire à l’éthique de la</w:t>
      </w:r>
      <w:r w:rsidRPr="00954079">
        <w:rPr>
          <w:rFonts w:eastAsia="SimSun"/>
          <w:bdr w:val="none" w:sz="0" w:space="0" w:color="auto" w:frame="1"/>
        </w:rPr>
        <w:t xml:space="preserve"> </w:t>
      </w:r>
      <w:r w:rsidRPr="00954079">
        <w:rPr>
          <w:rFonts w:eastAsiaTheme="minorHAnsi"/>
        </w:rPr>
        <w:t xml:space="preserve">publication scientifique ; elles sont donc inacceptables. </w:t>
      </w:r>
      <w:r w:rsidRPr="009E7305">
        <w:rPr>
          <w:rStyle w:val="Strong"/>
          <w:rFonts w:eastAsia="Calibri"/>
          <w:b w:val="0"/>
          <w:bCs w:val="0"/>
          <w:color w:val="0E101A"/>
        </w:rPr>
        <w:t xml:space="preserve">Le plagiat sous toutes ses formes, les publications multiples ou redondantes, l'invention ou la manipulation de données, constituent des manquements d’éthique graves et sont considérés comme des fraudes scientifiques. </w:t>
      </w:r>
      <w:r w:rsidRPr="009E7305">
        <w:rPr>
          <w:b/>
          <w:bCs/>
        </w:rPr>
        <w:t>TRANSLANG</w:t>
      </w:r>
      <w:r>
        <w:t xml:space="preserve"> </w:t>
      </w:r>
      <w:r w:rsidRPr="00182A9B">
        <w:t xml:space="preserve">se réserve le droit d'utiliser un logiciel de détection de plagiat pour passer en revue les </w:t>
      </w:r>
      <w:r>
        <w:t>manuscrit</w:t>
      </w:r>
      <w:r w:rsidRPr="00182A9B">
        <w:t xml:space="preserve">s soumis.  </w:t>
      </w:r>
      <w:r>
        <w:t xml:space="preserve">  </w:t>
      </w:r>
    </w:p>
    <w:p w:rsidR="003E4CBB" w:rsidRPr="00236EE4" w:rsidRDefault="003E4CBB" w:rsidP="003E4CBB">
      <w:pPr>
        <w:pStyle w:val="ListParagraph"/>
        <w:rPr>
          <w:rFonts w:eastAsia="Calibri"/>
          <w:color w:val="0E101A"/>
          <w:lang w:val="fr-FR"/>
        </w:rPr>
      </w:pPr>
    </w:p>
    <w:p w:rsidR="003E4CBB" w:rsidRDefault="003E4CBB" w:rsidP="003E4CBB">
      <w:pPr>
        <w:pStyle w:val="NormalWeb"/>
        <w:numPr>
          <w:ilvl w:val="0"/>
          <w:numId w:val="33"/>
        </w:numPr>
        <w:spacing w:before="0" w:beforeAutospacing="0" w:after="0" w:afterAutospacing="0"/>
        <w:jc w:val="both"/>
        <w:rPr>
          <w:rStyle w:val="Strong"/>
          <w:rFonts w:eastAsia="Calibri"/>
          <w:b w:val="0"/>
          <w:bCs w:val="0"/>
          <w:color w:val="0E101A"/>
        </w:rPr>
      </w:pPr>
      <w:r w:rsidRPr="009E7305">
        <w:rPr>
          <w:b/>
          <w:bCs/>
        </w:rPr>
        <w:t>Publications multiples, redondantes ou simultanées :</w:t>
      </w:r>
      <w:r w:rsidRPr="009E7305">
        <w:rPr>
          <w:rFonts w:eastAsia="SimSun"/>
          <w:bdr w:val="none" w:sz="0" w:space="0" w:color="auto" w:frame="1"/>
        </w:rPr>
        <w:t xml:space="preserve"> </w:t>
      </w:r>
      <w:r>
        <w:rPr>
          <w:rFonts w:eastAsiaTheme="minorHAnsi"/>
        </w:rPr>
        <w:t xml:space="preserve">Les </w:t>
      </w:r>
      <w:r w:rsidRPr="009E7305">
        <w:rPr>
          <w:rFonts w:eastAsiaTheme="minorHAnsi"/>
        </w:rPr>
        <w:t>auteur</w:t>
      </w:r>
      <w:r>
        <w:rPr>
          <w:rFonts w:eastAsiaTheme="minorHAnsi"/>
        </w:rPr>
        <w:t>s</w:t>
      </w:r>
      <w:r w:rsidRPr="009E7305">
        <w:rPr>
          <w:rFonts w:eastAsiaTheme="minorHAnsi"/>
        </w:rPr>
        <w:t xml:space="preserve"> s’engage</w:t>
      </w:r>
      <w:r>
        <w:rPr>
          <w:rFonts w:eastAsiaTheme="minorHAnsi"/>
        </w:rPr>
        <w:t>nt</w:t>
      </w:r>
      <w:r w:rsidRPr="009E7305">
        <w:rPr>
          <w:rFonts w:eastAsiaTheme="minorHAnsi"/>
        </w:rPr>
        <w:t xml:space="preserve"> à ne pas soumettre </w:t>
      </w:r>
      <w:r>
        <w:rPr>
          <w:rFonts w:eastAsiaTheme="minorHAnsi"/>
        </w:rPr>
        <w:t>des</w:t>
      </w:r>
      <w:r w:rsidRPr="009E7305">
        <w:rPr>
          <w:rFonts w:eastAsiaTheme="minorHAnsi"/>
        </w:rPr>
        <w:t xml:space="preserve"> article</w:t>
      </w:r>
      <w:r>
        <w:rPr>
          <w:rFonts w:eastAsiaTheme="minorHAnsi"/>
        </w:rPr>
        <w:t>s</w:t>
      </w:r>
      <w:r w:rsidRPr="009E7305">
        <w:rPr>
          <w:rFonts w:eastAsiaTheme="minorHAnsi"/>
        </w:rPr>
        <w:t xml:space="preserve"> qui aurai</w:t>
      </w:r>
      <w:r>
        <w:rPr>
          <w:rFonts w:eastAsiaTheme="minorHAnsi"/>
        </w:rPr>
        <w:t>en</w:t>
      </w:r>
      <w:r w:rsidRPr="009E7305">
        <w:rPr>
          <w:rFonts w:eastAsiaTheme="minorHAnsi"/>
        </w:rPr>
        <w:t>t fait l’objet de</w:t>
      </w:r>
      <w:r w:rsidRPr="009E7305">
        <w:rPr>
          <w:rFonts w:eastAsia="SimSun"/>
          <w:bdr w:val="none" w:sz="0" w:space="0" w:color="auto" w:frame="1"/>
        </w:rPr>
        <w:t xml:space="preserve"> </w:t>
      </w:r>
      <w:r w:rsidRPr="009E7305">
        <w:rPr>
          <w:rFonts w:eastAsiaTheme="minorHAnsi"/>
        </w:rPr>
        <w:t>précédente</w:t>
      </w:r>
      <w:r>
        <w:rPr>
          <w:rFonts w:eastAsiaTheme="minorHAnsi"/>
        </w:rPr>
        <w:t>s</w:t>
      </w:r>
      <w:r w:rsidRPr="009E7305">
        <w:rPr>
          <w:rFonts w:eastAsiaTheme="minorHAnsi"/>
        </w:rPr>
        <w:t xml:space="preserve"> publication</w:t>
      </w:r>
      <w:r>
        <w:rPr>
          <w:rFonts w:eastAsiaTheme="minorHAnsi"/>
        </w:rPr>
        <w:t>s</w:t>
      </w:r>
      <w:r w:rsidRPr="009E7305">
        <w:rPr>
          <w:rFonts w:eastAsiaTheme="minorHAnsi"/>
        </w:rPr>
        <w:t xml:space="preserve"> dans</w:t>
      </w:r>
      <w:r>
        <w:rPr>
          <w:rFonts w:eastAsiaTheme="minorHAnsi"/>
        </w:rPr>
        <w:t xml:space="preserve"> d’</w:t>
      </w:r>
      <w:r w:rsidRPr="009E7305">
        <w:rPr>
          <w:rFonts w:eastAsiaTheme="minorHAnsi"/>
        </w:rPr>
        <w:t>autres revue</w:t>
      </w:r>
      <w:r>
        <w:rPr>
          <w:rFonts w:eastAsiaTheme="minorHAnsi"/>
        </w:rPr>
        <w:t>s</w:t>
      </w:r>
      <w:r w:rsidRPr="009E7305">
        <w:rPr>
          <w:rFonts w:eastAsiaTheme="minorHAnsi"/>
        </w:rPr>
        <w:t xml:space="preserve"> ou </w:t>
      </w:r>
      <w:r>
        <w:rPr>
          <w:rFonts w:eastAsiaTheme="minorHAnsi"/>
        </w:rPr>
        <w:t>de nouveaux</w:t>
      </w:r>
      <w:r w:rsidRPr="009E7305">
        <w:rPr>
          <w:rFonts w:eastAsiaTheme="minorHAnsi"/>
        </w:rPr>
        <w:t xml:space="preserve"> article</w:t>
      </w:r>
      <w:r>
        <w:rPr>
          <w:rFonts w:eastAsiaTheme="minorHAnsi"/>
        </w:rPr>
        <w:t>s</w:t>
      </w:r>
      <w:r w:rsidRPr="009E7305">
        <w:rPr>
          <w:rFonts w:eastAsiaTheme="minorHAnsi"/>
        </w:rPr>
        <w:t xml:space="preserve"> qui reposerai</w:t>
      </w:r>
      <w:r>
        <w:rPr>
          <w:rFonts w:eastAsiaTheme="minorHAnsi"/>
        </w:rPr>
        <w:t>en</w:t>
      </w:r>
      <w:r w:rsidRPr="009E7305">
        <w:rPr>
          <w:rFonts w:eastAsiaTheme="minorHAnsi"/>
        </w:rPr>
        <w:t>t</w:t>
      </w:r>
      <w:r w:rsidRPr="009E7305">
        <w:rPr>
          <w:rFonts w:eastAsia="SimSun"/>
          <w:bdr w:val="none" w:sz="0" w:space="0" w:color="auto" w:frame="1"/>
        </w:rPr>
        <w:t xml:space="preserve"> </w:t>
      </w:r>
      <w:r w:rsidRPr="009E7305">
        <w:rPr>
          <w:rFonts w:eastAsiaTheme="minorHAnsi"/>
        </w:rPr>
        <w:t xml:space="preserve">exclusivement sur des travaux déjà publiés ailleurs.  </w:t>
      </w:r>
      <w:r>
        <w:rPr>
          <w:rFonts w:eastAsiaTheme="minorHAnsi"/>
        </w:rPr>
        <w:t xml:space="preserve">De même, les </w:t>
      </w:r>
      <w:r w:rsidRPr="009E7305">
        <w:rPr>
          <w:rFonts w:eastAsiaTheme="minorHAnsi"/>
        </w:rPr>
        <w:t>auteur</w:t>
      </w:r>
      <w:r>
        <w:rPr>
          <w:rFonts w:eastAsiaTheme="minorHAnsi"/>
        </w:rPr>
        <w:t>s</w:t>
      </w:r>
      <w:r w:rsidRPr="009E7305">
        <w:rPr>
          <w:rFonts w:eastAsiaTheme="minorHAnsi"/>
        </w:rPr>
        <w:t xml:space="preserve"> s’engage</w:t>
      </w:r>
      <w:r>
        <w:rPr>
          <w:rFonts w:eastAsiaTheme="minorHAnsi"/>
        </w:rPr>
        <w:t>nt</w:t>
      </w:r>
      <w:r w:rsidRPr="009E7305">
        <w:rPr>
          <w:rFonts w:eastAsiaTheme="minorHAnsi"/>
        </w:rPr>
        <w:t xml:space="preserve"> à ne pas soumettre leurs articles à plusieurs revues en même temps. </w:t>
      </w:r>
      <w:r w:rsidRPr="008644F6">
        <w:t>Soumettre le même manuscrit à plus d'une revue</w:t>
      </w:r>
      <w:r>
        <w:t xml:space="preserve"> </w:t>
      </w:r>
      <w:r w:rsidRPr="008644F6">
        <w:t>constitue un comportement de publication contraire à l'éthique et est inacceptable.</w:t>
      </w:r>
      <w:r>
        <w:rPr>
          <w:rFonts w:eastAsiaTheme="minorHAnsi"/>
        </w:rPr>
        <w:t xml:space="preserve"> </w:t>
      </w:r>
      <w:r w:rsidRPr="00023D00">
        <w:rPr>
          <w:rStyle w:val="Strong"/>
          <w:rFonts w:eastAsia="Calibri"/>
          <w:b w:val="0"/>
          <w:bCs w:val="0"/>
          <w:color w:val="0E101A"/>
        </w:rPr>
        <w:t xml:space="preserve">Aucune partie importante de l'article ne doit avoir été publiée précédemment, que ce </w:t>
      </w:r>
      <w:r w:rsidRPr="00023D00">
        <w:rPr>
          <w:rStyle w:val="Strong"/>
          <w:rFonts w:eastAsia="Calibri"/>
          <w:b w:val="0"/>
          <w:bCs w:val="0"/>
          <w:color w:val="0E101A"/>
        </w:rPr>
        <w:lastRenderedPageBreak/>
        <w:t xml:space="preserve">soit sous forme d'article ou de chapitre, ou être en cours d'examen pour publication ailleurs. </w:t>
      </w:r>
    </w:p>
    <w:p w:rsidR="003E4CBB" w:rsidRPr="00807F6F" w:rsidRDefault="003E4CBB" w:rsidP="003E4CBB">
      <w:pPr>
        <w:pStyle w:val="ListParagraph"/>
        <w:rPr>
          <w:rStyle w:val="Strong"/>
          <w:rFonts w:eastAsia="Calibri"/>
          <w:b w:val="0"/>
          <w:bCs w:val="0"/>
          <w:color w:val="0E101A"/>
          <w:lang w:val="fr-FR"/>
        </w:rPr>
      </w:pPr>
    </w:p>
    <w:p w:rsidR="003E4CBB" w:rsidRPr="00AE07C8" w:rsidRDefault="003E4CBB" w:rsidP="003E4CBB">
      <w:pPr>
        <w:pStyle w:val="NormalWeb"/>
        <w:numPr>
          <w:ilvl w:val="0"/>
          <w:numId w:val="33"/>
        </w:numPr>
        <w:spacing w:before="0" w:beforeAutospacing="0" w:after="0" w:afterAutospacing="0"/>
        <w:jc w:val="both"/>
        <w:rPr>
          <w:rFonts w:eastAsia="Calibri"/>
          <w:color w:val="0E101A"/>
        </w:rPr>
      </w:pPr>
      <w:r w:rsidRPr="00164DD3">
        <w:rPr>
          <w:b/>
          <w:bCs/>
        </w:rPr>
        <w:t>Ac</w:t>
      </w:r>
      <w:r>
        <w:rPr>
          <w:b/>
          <w:bCs/>
        </w:rPr>
        <w:t>cès aux données et conservation</w:t>
      </w:r>
      <w:r w:rsidRPr="00164DD3">
        <w:rPr>
          <w:b/>
          <w:bCs/>
        </w:rPr>
        <w:t xml:space="preserve">: </w:t>
      </w:r>
      <w:r w:rsidRPr="00164DD3">
        <w:t xml:space="preserve">Les auteurs doivent conserver les données relatives à leurs articles soumis, et doivent les fournir au comité éditorial, à la demande de l’éditeur en chef.   </w:t>
      </w:r>
      <w:r>
        <w:t xml:space="preserve"> </w:t>
      </w:r>
    </w:p>
    <w:p w:rsidR="003E4CBB" w:rsidRPr="00807F6F" w:rsidRDefault="003E4CBB" w:rsidP="003E4CBB">
      <w:pPr>
        <w:pStyle w:val="ListParagraph"/>
        <w:rPr>
          <w:rFonts w:eastAsia="Calibri"/>
          <w:color w:val="0E101A"/>
          <w:lang w:val="fr-FR"/>
        </w:rPr>
      </w:pPr>
    </w:p>
    <w:p w:rsidR="003E4CBB" w:rsidRDefault="003E4CBB" w:rsidP="003E4CBB">
      <w:pPr>
        <w:pStyle w:val="NormalWeb"/>
        <w:numPr>
          <w:ilvl w:val="0"/>
          <w:numId w:val="33"/>
        </w:numPr>
        <w:spacing w:before="0" w:beforeAutospacing="0" w:after="0" w:afterAutospacing="0"/>
        <w:jc w:val="both"/>
        <w:rPr>
          <w:rStyle w:val="Strong"/>
          <w:rFonts w:eastAsia="Calibri"/>
          <w:b w:val="0"/>
          <w:bCs w:val="0"/>
        </w:rPr>
      </w:pPr>
      <w:r w:rsidRPr="00C222B6">
        <w:rPr>
          <w:rFonts w:eastAsia="Calibri"/>
          <w:b/>
          <w:bCs/>
        </w:rPr>
        <w:t>Conflits d’intérêt</w:t>
      </w:r>
      <w:r w:rsidRPr="00C222B6">
        <w:rPr>
          <w:rFonts w:eastAsia="Calibri"/>
        </w:rPr>
        <w:t xml:space="preserve"> : </w:t>
      </w:r>
      <w:r w:rsidRPr="00C222B6">
        <w:rPr>
          <w:rStyle w:val="Strong"/>
          <w:rFonts w:eastAsia="Calibri"/>
          <w:b w:val="0"/>
          <w:bCs w:val="0"/>
        </w:rPr>
        <w:t xml:space="preserve">Les conflits d'intérêts facilement identifiables sont les intérêts financiers tels que l'emploi direct, le paiement de consultations, la participation à une entreprise, les honoraires, l'exploitation de brevets ou le paiement de conférences. Cependant, les conflits peuvent également résulter d'amitiés, de rivalités intellectuelles, de compétitions académiques ou de convictions personnelles. Lors de l’envoi des manuscrits, tous les auteurs doivent divulguer </w:t>
      </w:r>
      <w:r w:rsidRPr="00C222B6">
        <w:rPr>
          <w:rFonts w:eastAsia="Calibri"/>
        </w:rPr>
        <w:t xml:space="preserve">tout conflit d'intérêts financier ou autre conflit d'intérêts substantiel qui pourrait être interprété comme influençant les résultats ou l'interprétation de leurs manuscrits. </w:t>
      </w:r>
      <w:r w:rsidRPr="00C222B6">
        <w:rPr>
          <w:rStyle w:val="Strong"/>
          <w:rFonts w:eastAsia="Calibri"/>
          <w:b w:val="0"/>
          <w:bCs w:val="0"/>
        </w:rPr>
        <w:t>Ils doivent divulguer toutes les sources de soutien financier du projet.</w:t>
      </w:r>
      <w:r w:rsidRPr="00C222B6">
        <w:rPr>
          <w:rFonts w:eastAsia="Calibri"/>
        </w:rPr>
        <w:t xml:space="preserve"> </w:t>
      </w:r>
      <w:r w:rsidRPr="00C222B6">
        <w:rPr>
          <w:rStyle w:val="Strong"/>
          <w:rFonts w:eastAsia="Calibri"/>
          <w:b w:val="0"/>
          <w:bCs w:val="0"/>
        </w:rPr>
        <w:t xml:space="preserve">De même, les auteurs doivent déclarer toute relation non financière qui pourrait entraîner un conflit d'intérêts dans leurs recherches (personnelle, académique, idéologique, intellectuelle, politique ou religieuse). Les conflits d'intérêts, qu'ils soient financiers ou non financiers, doivent être notifiés lors de la soumission de manuscrits. Les auteurs doivent indiquer à la revue lorsqu'ils ont un conflit d'intérêt direct ou indirect avec les éditeurs ou les membres du comité de rédaction ou du comité scientifique international. La raison d'être de cette exigence n'est pas d'empêcher la publication d'auteurs ayant des intérêts concurrents, mais de veiller à ce que ceux-ci puissent être clairement identifiés afin que les lecteurs puissent juger si les auteurs peuvent être prédisposés ou influencés dans leurs recherches. À la fin des manuscrits, une note dénommée "Conflit d'intérêts" sera publiée. Si aucun conflit n'existe, le statut indiqué sera "Aucun".    </w:t>
      </w:r>
      <w:r>
        <w:rPr>
          <w:rStyle w:val="Strong"/>
          <w:rFonts w:eastAsia="Calibri"/>
          <w:b w:val="0"/>
          <w:bCs w:val="0"/>
        </w:rPr>
        <w:t xml:space="preserve"> </w:t>
      </w:r>
      <w:r w:rsidRPr="00C222B6">
        <w:rPr>
          <w:rStyle w:val="Strong"/>
          <w:rFonts w:eastAsia="Calibri"/>
          <w:b w:val="0"/>
          <w:bCs w:val="0"/>
        </w:rPr>
        <w:t xml:space="preserve">   </w:t>
      </w:r>
      <w:r>
        <w:rPr>
          <w:rStyle w:val="Strong"/>
          <w:rFonts w:eastAsia="Calibri"/>
          <w:b w:val="0"/>
          <w:bCs w:val="0"/>
        </w:rPr>
        <w:t xml:space="preserve"> </w:t>
      </w:r>
    </w:p>
    <w:p w:rsidR="003E4CBB" w:rsidRDefault="003E4CBB" w:rsidP="003E4CBB">
      <w:pPr>
        <w:pStyle w:val="NormalWeb"/>
        <w:spacing w:before="0" w:beforeAutospacing="0" w:after="0" w:afterAutospacing="0"/>
        <w:ind w:left="720"/>
        <w:jc w:val="both"/>
        <w:rPr>
          <w:rStyle w:val="Strong"/>
          <w:rFonts w:eastAsia="Calibri"/>
          <w:b w:val="0"/>
          <w:bCs w:val="0"/>
        </w:rPr>
      </w:pPr>
    </w:p>
    <w:p w:rsidR="003E4CBB" w:rsidRPr="00B5416D" w:rsidRDefault="003E4CBB" w:rsidP="003E4CBB">
      <w:pPr>
        <w:pStyle w:val="NormalWeb"/>
        <w:numPr>
          <w:ilvl w:val="0"/>
          <w:numId w:val="33"/>
        </w:numPr>
        <w:spacing w:before="0" w:beforeAutospacing="0" w:after="0" w:afterAutospacing="0"/>
        <w:jc w:val="both"/>
        <w:rPr>
          <w:rFonts w:eastAsia="Calibri"/>
        </w:rPr>
      </w:pPr>
      <w:r w:rsidRPr="00D65E88">
        <w:rPr>
          <w:b/>
          <w:bCs/>
        </w:rPr>
        <w:t>Mention des Auteurs de l’article :</w:t>
      </w:r>
      <w:r w:rsidRPr="00D65E88">
        <w:rPr>
          <w:rFonts w:eastAsia="SimSun"/>
          <w:bdr w:val="none" w:sz="0" w:space="0" w:color="auto" w:frame="1"/>
        </w:rPr>
        <w:t xml:space="preserve">  </w:t>
      </w:r>
      <w:r w:rsidRPr="00BE7DB2">
        <w:rPr>
          <w:rFonts w:eastAsia="SimSun"/>
          <w:bdr w:val="none" w:sz="0" w:space="0" w:color="auto" w:frame="1"/>
        </w:rPr>
        <w:t>La paternité de</w:t>
      </w:r>
      <w:r>
        <w:rPr>
          <w:rFonts w:eastAsia="SimSun"/>
          <w:bdr w:val="none" w:sz="0" w:space="0" w:color="auto" w:frame="1"/>
        </w:rPr>
        <w:t>s articles</w:t>
      </w:r>
      <w:r w:rsidRPr="00BE7DB2">
        <w:rPr>
          <w:rFonts w:eastAsia="SimSun"/>
          <w:bdr w:val="none" w:sz="0" w:space="0" w:color="auto" w:frame="1"/>
        </w:rPr>
        <w:t xml:space="preserve"> doit</w:t>
      </w:r>
      <w:r w:rsidRPr="00D65E88">
        <w:rPr>
          <w:rFonts w:eastAsiaTheme="minorHAnsi"/>
        </w:rPr>
        <w:t xml:space="preserve"> se limiter à ceux qui ont apporté une contribution</w:t>
      </w:r>
      <w:r w:rsidRPr="00D65E88">
        <w:rPr>
          <w:rFonts w:eastAsia="SimSun"/>
          <w:bdr w:val="none" w:sz="0" w:space="0" w:color="auto" w:frame="1"/>
        </w:rPr>
        <w:t xml:space="preserve"> </w:t>
      </w:r>
      <w:r w:rsidRPr="00D65E88">
        <w:rPr>
          <w:rFonts w:eastAsiaTheme="minorHAnsi"/>
        </w:rPr>
        <w:t>significative à la conception, à la réalisation ou à l’interprétation de</w:t>
      </w:r>
      <w:r>
        <w:rPr>
          <w:rFonts w:eastAsiaTheme="minorHAnsi"/>
        </w:rPr>
        <w:t xml:space="preserve">s </w:t>
      </w:r>
      <w:r w:rsidRPr="00D65E88">
        <w:rPr>
          <w:rFonts w:eastAsiaTheme="minorHAnsi"/>
        </w:rPr>
        <w:t>étude</w:t>
      </w:r>
      <w:r>
        <w:rPr>
          <w:rFonts w:eastAsiaTheme="minorHAnsi"/>
        </w:rPr>
        <w:t>s</w:t>
      </w:r>
      <w:r w:rsidRPr="00D65E88">
        <w:rPr>
          <w:rFonts w:eastAsiaTheme="minorHAnsi"/>
        </w:rPr>
        <w:t xml:space="preserve"> présentée</w:t>
      </w:r>
      <w:r>
        <w:rPr>
          <w:rFonts w:eastAsiaTheme="minorHAnsi"/>
        </w:rPr>
        <w:t>s</w:t>
      </w:r>
      <w:r w:rsidRPr="00D65E88">
        <w:rPr>
          <w:rFonts w:eastAsia="SimSun"/>
          <w:bdr w:val="none" w:sz="0" w:space="0" w:color="auto" w:frame="1"/>
        </w:rPr>
        <w:t xml:space="preserve"> </w:t>
      </w:r>
      <w:r w:rsidRPr="00D65E88">
        <w:rPr>
          <w:rFonts w:eastAsiaTheme="minorHAnsi"/>
        </w:rPr>
        <w:t>dans le</w:t>
      </w:r>
      <w:r>
        <w:rPr>
          <w:rFonts w:eastAsiaTheme="minorHAnsi"/>
        </w:rPr>
        <w:t>s manuscrits</w:t>
      </w:r>
      <w:r w:rsidRPr="00D65E88">
        <w:rPr>
          <w:rFonts w:eastAsiaTheme="minorHAnsi"/>
        </w:rPr>
        <w:t xml:space="preserve"> soumis à la rev</w:t>
      </w:r>
      <w:r>
        <w:rPr>
          <w:rFonts w:eastAsiaTheme="minorHAnsi"/>
        </w:rPr>
        <w:t>ue</w:t>
      </w:r>
      <w:r w:rsidRPr="00D65E88">
        <w:rPr>
          <w:rFonts w:eastAsiaTheme="minorHAnsi"/>
        </w:rPr>
        <w:t>.</w:t>
      </w:r>
      <w:r>
        <w:rPr>
          <w:rFonts w:eastAsiaTheme="minorHAnsi"/>
        </w:rPr>
        <w:t xml:space="preserve"> </w:t>
      </w:r>
      <w:r w:rsidRPr="00AC6D75">
        <w:rPr>
          <w:rFonts w:eastAsiaTheme="minorHAnsi"/>
        </w:rPr>
        <w:t>Tous les auteurs doivent</w:t>
      </w:r>
      <w:r w:rsidRPr="00AC6D75">
        <w:rPr>
          <w:rFonts w:eastAsia="SimSun"/>
          <w:bdr w:val="none" w:sz="0" w:space="0" w:color="auto" w:frame="1"/>
        </w:rPr>
        <w:t xml:space="preserve"> </w:t>
      </w:r>
      <w:r w:rsidRPr="00AC6D75">
        <w:rPr>
          <w:rFonts w:eastAsiaTheme="minorHAnsi"/>
        </w:rPr>
        <w:t>être mentionnés, avec leur</w:t>
      </w:r>
      <w:r>
        <w:rPr>
          <w:rFonts w:eastAsiaTheme="minorHAnsi"/>
        </w:rPr>
        <w:t>s</w:t>
      </w:r>
      <w:r w:rsidRPr="00AC6D75">
        <w:rPr>
          <w:rFonts w:eastAsiaTheme="minorHAnsi"/>
        </w:rPr>
        <w:t xml:space="preserve"> affiliation</w:t>
      </w:r>
      <w:r>
        <w:rPr>
          <w:rFonts w:eastAsiaTheme="minorHAnsi"/>
        </w:rPr>
        <w:t>s</w:t>
      </w:r>
      <w:r w:rsidRPr="00AC6D75">
        <w:rPr>
          <w:rFonts w:eastAsiaTheme="minorHAnsi"/>
        </w:rPr>
        <w:t>, par ordre alphabétique ou selon leur degré</w:t>
      </w:r>
      <w:r w:rsidRPr="00AC6D75">
        <w:rPr>
          <w:rFonts w:eastAsia="SimSun"/>
          <w:bdr w:val="none" w:sz="0" w:space="0" w:color="auto" w:frame="1"/>
        </w:rPr>
        <w:t xml:space="preserve"> </w:t>
      </w:r>
      <w:r w:rsidRPr="00AC6D75">
        <w:rPr>
          <w:rFonts w:eastAsiaTheme="minorHAnsi"/>
        </w:rPr>
        <w:t>d’implicat</w:t>
      </w:r>
      <w:r>
        <w:rPr>
          <w:rFonts w:eastAsiaTheme="minorHAnsi"/>
        </w:rPr>
        <w:t>ion dans la réalisation des</w:t>
      </w:r>
      <w:r w:rsidRPr="00AC6D75">
        <w:rPr>
          <w:rFonts w:eastAsiaTheme="minorHAnsi"/>
        </w:rPr>
        <w:t xml:space="preserve"> étude</w:t>
      </w:r>
      <w:r>
        <w:rPr>
          <w:rFonts w:eastAsiaTheme="minorHAnsi"/>
        </w:rPr>
        <w:t>s</w:t>
      </w:r>
      <w:r w:rsidRPr="00AC6D75">
        <w:rPr>
          <w:rFonts w:eastAsiaTheme="minorHAnsi"/>
        </w:rPr>
        <w:t xml:space="preserve"> </w:t>
      </w:r>
      <w:r>
        <w:rPr>
          <w:rFonts w:eastAsiaTheme="minorHAnsi"/>
        </w:rPr>
        <w:t>ou dans la rédaction des manuscrits</w:t>
      </w:r>
      <w:r w:rsidRPr="00AC6D75">
        <w:rPr>
          <w:rFonts w:eastAsiaTheme="minorHAnsi"/>
        </w:rPr>
        <w:t>.</w:t>
      </w:r>
      <w:r w:rsidRPr="00AC6D75">
        <w:rPr>
          <w:rFonts w:eastAsia="SimSun"/>
          <w:bdr w:val="none" w:sz="0" w:space="0" w:color="auto" w:frame="1"/>
        </w:rPr>
        <w:t xml:space="preserve"> </w:t>
      </w:r>
      <w:r w:rsidRPr="00AC6D75">
        <w:rPr>
          <w:rFonts w:eastAsiaTheme="minorHAnsi"/>
        </w:rPr>
        <w:t xml:space="preserve">L’auteur qui est en contact avec la revue </w:t>
      </w:r>
      <w:r>
        <w:rPr>
          <w:rFonts w:eastAsiaTheme="minorHAnsi"/>
        </w:rPr>
        <w:t xml:space="preserve">(l’auteur correspondant) </w:t>
      </w:r>
      <w:r w:rsidRPr="00AC6D75">
        <w:rPr>
          <w:rFonts w:eastAsiaTheme="minorHAnsi"/>
        </w:rPr>
        <w:t>doit s’assurer que seuls les co-auteurs</w:t>
      </w:r>
      <w:r w:rsidRPr="00AC6D75">
        <w:rPr>
          <w:rFonts w:eastAsia="SimSun"/>
          <w:bdr w:val="none" w:sz="0" w:space="0" w:color="auto" w:frame="1"/>
        </w:rPr>
        <w:t xml:space="preserve"> </w:t>
      </w:r>
      <w:r w:rsidRPr="00AC6D75">
        <w:rPr>
          <w:rFonts w:eastAsiaTheme="minorHAnsi"/>
        </w:rPr>
        <w:t>appropriés sont inclus dans la liste des auteurs, et que tous les co-auteurs, après avoir</w:t>
      </w:r>
      <w:r w:rsidRPr="00AC6D75">
        <w:rPr>
          <w:rFonts w:eastAsia="SimSun"/>
          <w:bdr w:val="none" w:sz="0" w:space="0" w:color="auto" w:frame="1"/>
        </w:rPr>
        <w:t xml:space="preserve"> </w:t>
      </w:r>
      <w:r w:rsidRPr="00AC6D75">
        <w:rPr>
          <w:rFonts w:eastAsiaTheme="minorHAnsi"/>
        </w:rPr>
        <w:t>vu et approuvé</w:t>
      </w:r>
      <w:r>
        <w:rPr>
          <w:rFonts w:eastAsiaTheme="minorHAnsi"/>
        </w:rPr>
        <w:t xml:space="preserve"> la version finale de leurs manuscrits</w:t>
      </w:r>
      <w:r w:rsidRPr="00AC6D75">
        <w:rPr>
          <w:rFonts w:eastAsiaTheme="minorHAnsi"/>
        </w:rPr>
        <w:t xml:space="preserve">, étaient d’accord pour soumettre </w:t>
      </w:r>
      <w:r>
        <w:rPr>
          <w:rFonts w:eastAsiaTheme="minorHAnsi"/>
        </w:rPr>
        <w:t>les manuscrits</w:t>
      </w:r>
      <w:r w:rsidRPr="00AC6D75">
        <w:rPr>
          <w:rFonts w:eastAsia="SimSun"/>
          <w:bdr w:val="none" w:sz="0" w:space="0" w:color="auto" w:frame="1"/>
        </w:rPr>
        <w:t xml:space="preserve"> </w:t>
      </w:r>
      <w:r>
        <w:rPr>
          <w:rFonts w:eastAsiaTheme="minorHAnsi"/>
        </w:rPr>
        <w:t xml:space="preserve">pour publication. </w:t>
      </w:r>
      <w:r w:rsidRPr="00EF7F2F">
        <w:rPr>
          <w:color w:val="0E101A"/>
        </w:rPr>
        <w:t xml:space="preserve">Les auteurs doivent fournir une attribution de la paternité et des remerciements appropriés. Les auteurs doivent </w:t>
      </w:r>
      <w:r>
        <w:rPr>
          <w:color w:val="0E101A"/>
        </w:rPr>
        <w:t xml:space="preserve">également </w:t>
      </w:r>
      <w:r w:rsidRPr="00EF7F2F">
        <w:rPr>
          <w:color w:val="0E101A"/>
        </w:rPr>
        <w:t>s'abstenir de déform</w:t>
      </w:r>
      <w:r>
        <w:rPr>
          <w:color w:val="0E101A"/>
        </w:rPr>
        <w:t>er délibérément la relation du</w:t>
      </w:r>
      <w:r w:rsidRPr="00EF7F2F">
        <w:rPr>
          <w:color w:val="0E101A"/>
        </w:rPr>
        <w:t xml:space="preserve"> scientifique avec </w:t>
      </w:r>
      <w:r>
        <w:rPr>
          <w:color w:val="0E101A"/>
        </w:rPr>
        <w:t>la recherche</w:t>
      </w:r>
      <w:r w:rsidRPr="00EF7F2F">
        <w:rPr>
          <w:color w:val="0E101A"/>
        </w:rPr>
        <w:t xml:space="preserve"> publié</w:t>
      </w:r>
      <w:r>
        <w:rPr>
          <w:color w:val="0E101A"/>
        </w:rPr>
        <w:t>e</w:t>
      </w:r>
      <w:r w:rsidRPr="00EF7F2F">
        <w:rPr>
          <w:color w:val="0E101A"/>
        </w:rPr>
        <w:t>. Tous les auteurs doivent avoir contribué de manière significative à la recherche.</w:t>
      </w:r>
      <w:r>
        <w:rPr>
          <w:color w:val="0E101A"/>
        </w:rPr>
        <w:t xml:space="preserve">   </w:t>
      </w:r>
      <w:r w:rsidRPr="00B5416D">
        <w:rPr>
          <w:color w:val="0E101A"/>
        </w:rPr>
        <w:t>Ceux qui ne remplissent pas ces trois critères ne peuvent être mentionnés que dans les remerciements. Afin d'éviter le risque de recours à des auteurs à gage (ghostwriting) ou de paternité fictive/purloinée, il est conseillé qu</w:t>
      </w:r>
      <w:r>
        <w:rPr>
          <w:color w:val="0E101A"/>
        </w:rPr>
        <w:t>'avant la soumission des manuscrits</w:t>
      </w:r>
      <w:r w:rsidRPr="00B5416D">
        <w:rPr>
          <w:color w:val="0E101A"/>
        </w:rPr>
        <w:t xml:space="preserve">, tous les auteurs se mettent d'accord sur leurs contributions et l'ordre dans lequel ils apparaîtront sur la liste des co-auteurs.   </w:t>
      </w:r>
      <w:r>
        <w:rPr>
          <w:color w:val="0E101A"/>
        </w:rPr>
        <w:t xml:space="preserve"> </w:t>
      </w:r>
      <w:r w:rsidRPr="00B5416D">
        <w:rPr>
          <w:color w:val="0E101A"/>
        </w:rPr>
        <w:t xml:space="preserve"> </w:t>
      </w:r>
      <w:r>
        <w:rPr>
          <w:color w:val="0E101A"/>
        </w:rPr>
        <w:t xml:space="preserve"> </w:t>
      </w:r>
    </w:p>
    <w:p w:rsidR="003E4CBB" w:rsidRPr="00F64584" w:rsidRDefault="003E4CBB" w:rsidP="003E4CBB">
      <w:pPr>
        <w:pStyle w:val="NormalWeb"/>
        <w:spacing w:before="0" w:beforeAutospacing="0" w:after="0" w:afterAutospacing="0"/>
        <w:ind w:left="720"/>
        <w:jc w:val="both"/>
        <w:rPr>
          <w:color w:val="0E101A"/>
        </w:rPr>
      </w:pPr>
      <w:r w:rsidRPr="00F64584">
        <w:rPr>
          <w:color w:val="0E101A"/>
        </w:rPr>
        <w:t>Afin d'éviter toute confusion possible avec les noms des auteurs et de garantir l'attribution adéquate des pub</w:t>
      </w:r>
      <w:r>
        <w:rPr>
          <w:color w:val="0E101A"/>
        </w:rPr>
        <w:t xml:space="preserve">lications et des citations, la revue </w:t>
      </w:r>
      <w:r w:rsidRPr="00CA6FFA">
        <w:rPr>
          <w:b/>
          <w:bCs/>
          <w:color w:val="0E101A"/>
        </w:rPr>
        <w:t xml:space="preserve">TRANSLANG </w:t>
      </w:r>
      <w:r w:rsidRPr="00F64584">
        <w:rPr>
          <w:color w:val="0E101A"/>
        </w:rPr>
        <w:t xml:space="preserve">exige l'ID ORCID de tous les auteurs impliqués. Bien que cela ne puisse garantir à lui seul une identification correcte, l'adoption d'ORCID constitue une forme supplémentaire de contrôle contre la fraude à l'auteur. </w:t>
      </w:r>
    </w:p>
    <w:p w:rsidR="003E4CBB" w:rsidRPr="00F64584" w:rsidRDefault="003E4CBB" w:rsidP="003E4CBB">
      <w:pPr>
        <w:pStyle w:val="NormalWeb"/>
        <w:spacing w:before="0" w:beforeAutospacing="0" w:after="0" w:afterAutospacing="0"/>
        <w:ind w:left="720"/>
        <w:jc w:val="both"/>
        <w:rPr>
          <w:color w:val="0E101A"/>
        </w:rPr>
      </w:pPr>
      <w:r w:rsidRPr="00694B70">
        <w:rPr>
          <w:b/>
          <w:bCs/>
          <w:color w:val="0E101A"/>
        </w:rPr>
        <w:lastRenderedPageBreak/>
        <w:t xml:space="preserve">Les changements de paternité, l'incorporation, l'exclusion ou la réorganisation des noms des auteurs </w:t>
      </w:r>
      <w:r w:rsidRPr="00F64584">
        <w:rPr>
          <w:color w:val="0E101A"/>
        </w:rPr>
        <w:t>doivent être effectués avant que le</w:t>
      </w:r>
      <w:r>
        <w:rPr>
          <w:color w:val="0E101A"/>
        </w:rPr>
        <w:t xml:space="preserve">s manuscrits </w:t>
      </w:r>
      <w:r w:rsidRPr="00F64584">
        <w:rPr>
          <w:color w:val="0E101A"/>
        </w:rPr>
        <w:t>ne soi</w:t>
      </w:r>
      <w:r>
        <w:rPr>
          <w:color w:val="0E101A"/>
        </w:rPr>
        <w:t>en</w:t>
      </w:r>
      <w:r w:rsidRPr="00F64584">
        <w:rPr>
          <w:color w:val="0E101A"/>
        </w:rPr>
        <w:t>t accepté</w:t>
      </w:r>
      <w:r>
        <w:rPr>
          <w:color w:val="0E101A"/>
        </w:rPr>
        <w:t>s</w:t>
      </w:r>
      <w:r w:rsidRPr="00F64584">
        <w:rPr>
          <w:color w:val="0E101A"/>
        </w:rPr>
        <w:t xml:space="preserve"> pour publication et doivent être approuvés par l'éditeur de la revue.</w:t>
      </w:r>
      <w:r>
        <w:rPr>
          <w:color w:val="0E101A"/>
        </w:rPr>
        <w:t xml:space="preserve"> </w:t>
      </w:r>
    </w:p>
    <w:p w:rsidR="003E4CBB" w:rsidRPr="00F64584" w:rsidRDefault="003E4CBB" w:rsidP="003E4CBB">
      <w:pPr>
        <w:pStyle w:val="NormalWeb"/>
        <w:spacing w:before="0" w:beforeAutospacing="0" w:after="0" w:afterAutospacing="0"/>
        <w:ind w:left="720"/>
        <w:jc w:val="both"/>
        <w:rPr>
          <w:color w:val="0E101A"/>
        </w:rPr>
      </w:pPr>
      <w:r w:rsidRPr="00F64584">
        <w:rPr>
          <w:color w:val="0E101A"/>
        </w:rPr>
        <w:t>Le motif justifie la modification de la liste des auteurs et la confirmation écrite de tous les auteurs concernés indiquant leur accord avec l'incorporation, l'exclusion ou la réorganisation de la liste des contributeurs. Dans les cas d'incorporation ou d'exclusion, la confirmation de l'auteur concerné doit également être incluse. Pour demander ce changement, l'auteur doit envoyer ce qui suit à l'éditeur :</w:t>
      </w:r>
      <w:r>
        <w:rPr>
          <w:color w:val="0E101A"/>
        </w:rPr>
        <w:t xml:space="preserve">  </w:t>
      </w:r>
    </w:p>
    <w:p w:rsidR="003E4CBB" w:rsidRPr="00F64584" w:rsidRDefault="003E4CBB" w:rsidP="003E4CBB">
      <w:pPr>
        <w:pStyle w:val="NormalWeb"/>
        <w:spacing w:before="0" w:beforeAutospacing="0" w:after="0" w:afterAutospacing="0"/>
        <w:ind w:left="720"/>
        <w:jc w:val="both"/>
        <w:rPr>
          <w:color w:val="0E101A"/>
        </w:rPr>
      </w:pPr>
      <w:r w:rsidRPr="00F64584">
        <w:rPr>
          <w:color w:val="0E101A"/>
        </w:rPr>
        <w:t>Une fois qu'un manuscrit a été accepté, l'éditeur n'envisagera l'incorporation, l'exclusion ou la réorganisation de la liste des contributeurs que dans des circonstances exceptionnelles. La publication de l'article sera interrompue pendant l'évaluation de la demande de modification. Si le manuscrit est publié en ligne, l'éditeur introduira les changements relatifs à une demande acceptée dans une note de correction.</w:t>
      </w:r>
      <w:r>
        <w:rPr>
          <w:color w:val="0E101A"/>
        </w:rPr>
        <w:t xml:space="preserve">   </w:t>
      </w:r>
    </w:p>
    <w:p w:rsidR="003E4CBB" w:rsidRPr="0017122E" w:rsidRDefault="003E4CBB" w:rsidP="003E4CBB">
      <w:pPr>
        <w:pStyle w:val="ListParagraph"/>
        <w:numPr>
          <w:ilvl w:val="0"/>
          <w:numId w:val="33"/>
        </w:numPr>
        <w:bidi w:val="0"/>
        <w:spacing w:before="100" w:beforeAutospacing="1" w:after="120"/>
        <w:jc w:val="both"/>
        <w:outlineLvl w:val="2"/>
        <w:rPr>
          <w:rFonts w:ascii="Times New Roman" w:eastAsiaTheme="minorHAnsi" w:hAnsi="Times New Roman"/>
          <w:lang w:val="fr-FR" w:bidi="ar-SA"/>
        </w:rPr>
      </w:pPr>
      <w:r w:rsidRPr="0017122E">
        <w:rPr>
          <w:rFonts w:ascii="Times New Roman" w:hAnsi="Times New Roman"/>
          <w:b/>
          <w:bCs/>
          <w:lang w:val="fr-FR" w:bidi="ar-SA"/>
        </w:rPr>
        <w:t xml:space="preserve">Références : </w:t>
      </w:r>
      <w:r w:rsidRPr="0017122E">
        <w:rPr>
          <w:rFonts w:ascii="Times New Roman" w:eastAsia="SimSun" w:hAnsi="Times New Roman"/>
          <w:bdr w:val="none" w:sz="0" w:space="0" w:color="auto" w:frame="1"/>
          <w:lang w:val="fr-FR" w:eastAsia="fr-FR"/>
        </w:rPr>
        <w:t>Toute</w:t>
      </w:r>
      <w:r w:rsidRPr="0017122E">
        <w:rPr>
          <w:rFonts w:ascii="Times New Roman" w:eastAsiaTheme="minorHAnsi" w:hAnsi="Times New Roman"/>
          <w:lang w:val="fr-FR" w:bidi="ar-SA"/>
        </w:rPr>
        <w:t xml:space="preserve"> citation (ou utilisation de travaux d’autres auteurs) doit être identifiée en tant</w:t>
      </w:r>
      <w:r w:rsidRPr="0017122E">
        <w:rPr>
          <w:rFonts w:ascii="Times New Roman" w:eastAsia="SimSun" w:hAnsi="Times New Roman"/>
          <w:bdr w:val="none" w:sz="0" w:space="0" w:color="auto" w:frame="1"/>
          <w:lang w:val="fr-FR" w:eastAsia="fr-FR"/>
        </w:rPr>
        <w:t xml:space="preserve"> </w:t>
      </w:r>
      <w:r w:rsidRPr="0017122E">
        <w:rPr>
          <w:rFonts w:ascii="Times New Roman" w:eastAsiaTheme="minorHAnsi" w:hAnsi="Times New Roman"/>
          <w:lang w:val="fr-FR" w:bidi="ar-SA"/>
        </w:rPr>
        <w:t>que telle et accompagnée des références appropriées, présentées selon le schéma</w:t>
      </w:r>
      <w:r w:rsidRPr="0017122E">
        <w:rPr>
          <w:rFonts w:ascii="Times New Roman" w:eastAsia="SimSun" w:hAnsi="Times New Roman"/>
          <w:bdr w:val="none" w:sz="0" w:space="0" w:color="auto" w:frame="1"/>
          <w:lang w:val="fr-FR" w:eastAsia="fr-FR"/>
        </w:rPr>
        <w:t xml:space="preserve"> </w:t>
      </w:r>
      <w:r w:rsidRPr="0017122E">
        <w:rPr>
          <w:rFonts w:ascii="Times New Roman" w:eastAsiaTheme="minorHAnsi" w:hAnsi="Times New Roman"/>
          <w:lang w:val="fr-FR" w:bidi="ar-SA"/>
        </w:rPr>
        <w:t>habituellement retenu par la revue.</w:t>
      </w:r>
      <w:r w:rsidRPr="0017122E">
        <w:rPr>
          <w:rFonts w:ascii="Times New Roman" w:eastAsia="SimSun" w:hAnsi="Times New Roman"/>
          <w:bdr w:val="none" w:sz="0" w:space="0" w:color="auto" w:frame="1"/>
          <w:lang w:val="fr-FR" w:eastAsia="fr-FR"/>
        </w:rPr>
        <w:t xml:space="preserve"> </w:t>
      </w:r>
      <w:r>
        <w:rPr>
          <w:rFonts w:ascii="Times New Roman" w:eastAsiaTheme="minorHAnsi" w:hAnsi="Times New Roman"/>
          <w:lang w:val="fr-FR" w:bidi="ar-SA"/>
        </w:rPr>
        <w:t xml:space="preserve">Si jamais les </w:t>
      </w:r>
      <w:r w:rsidRPr="0017122E">
        <w:rPr>
          <w:rFonts w:ascii="Times New Roman" w:eastAsiaTheme="minorHAnsi" w:hAnsi="Times New Roman"/>
          <w:lang w:val="fr-FR" w:bidi="ar-SA"/>
        </w:rPr>
        <w:t>auteur</w:t>
      </w:r>
      <w:r>
        <w:rPr>
          <w:rFonts w:ascii="Times New Roman" w:eastAsiaTheme="minorHAnsi" w:hAnsi="Times New Roman"/>
          <w:lang w:val="fr-FR" w:bidi="ar-SA"/>
        </w:rPr>
        <w:t>s</w:t>
      </w:r>
      <w:r w:rsidRPr="0017122E">
        <w:rPr>
          <w:rFonts w:ascii="Times New Roman" w:eastAsiaTheme="minorHAnsi" w:hAnsi="Times New Roman"/>
          <w:lang w:val="fr-FR" w:bidi="ar-SA"/>
        </w:rPr>
        <w:t xml:space="preserve"> souhaitai</w:t>
      </w:r>
      <w:r>
        <w:rPr>
          <w:rFonts w:ascii="Times New Roman" w:eastAsiaTheme="minorHAnsi" w:hAnsi="Times New Roman"/>
          <w:lang w:val="fr-FR" w:bidi="ar-SA"/>
        </w:rPr>
        <w:t>en</w:t>
      </w:r>
      <w:r w:rsidRPr="0017122E">
        <w:rPr>
          <w:rFonts w:ascii="Times New Roman" w:eastAsiaTheme="minorHAnsi" w:hAnsi="Times New Roman"/>
          <w:lang w:val="fr-FR" w:bidi="ar-SA"/>
        </w:rPr>
        <w:t>t utiliser des informations qu’ils auraient obtenues en privé</w:t>
      </w:r>
      <w:r w:rsidRPr="0017122E">
        <w:rPr>
          <w:rFonts w:ascii="Times New Roman" w:eastAsia="SimSun" w:hAnsi="Times New Roman"/>
          <w:bdr w:val="none" w:sz="0" w:space="0" w:color="auto" w:frame="1"/>
          <w:lang w:val="fr-FR" w:eastAsia="fr-FR"/>
        </w:rPr>
        <w:t xml:space="preserve"> </w:t>
      </w:r>
      <w:r w:rsidRPr="0017122E">
        <w:rPr>
          <w:rFonts w:ascii="Times New Roman" w:eastAsiaTheme="minorHAnsi" w:hAnsi="Times New Roman"/>
          <w:lang w:val="fr-FR" w:bidi="ar-SA"/>
        </w:rPr>
        <w:t>(conversation, correspondance), il</w:t>
      </w:r>
      <w:r>
        <w:rPr>
          <w:rFonts w:ascii="Times New Roman" w:eastAsiaTheme="minorHAnsi" w:hAnsi="Times New Roman"/>
          <w:lang w:val="fr-FR" w:bidi="ar-SA"/>
        </w:rPr>
        <w:t>s</w:t>
      </w:r>
      <w:r w:rsidRPr="0017122E">
        <w:rPr>
          <w:rFonts w:ascii="Times New Roman" w:eastAsiaTheme="minorHAnsi" w:hAnsi="Times New Roman"/>
          <w:lang w:val="fr-FR" w:bidi="ar-SA"/>
        </w:rPr>
        <w:t xml:space="preserve"> devraient tout mettre en œuvre pour obtenir</w:t>
      </w:r>
      <w:r w:rsidRPr="0017122E">
        <w:rPr>
          <w:rFonts w:ascii="Times New Roman" w:eastAsia="SimSun" w:hAnsi="Times New Roman"/>
          <w:bdr w:val="none" w:sz="0" w:space="0" w:color="auto" w:frame="1"/>
          <w:lang w:val="fr-FR" w:eastAsia="fr-FR"/>
        </w:rPr>
        <w:t xml:space="preserve"> </w:t>
      </w:r>
      <w:r w:rsidRPr="0017122E">
        <w:rPr>
          <w:rFonts w:ascii="Times New Roman" w:eastAsiaTheme="minorHAnsi" w:hAnsi="Times New Roman"/>
          <w:lang w:val="fr-FR" w:bidi="ar-SA"/>
        </w:rPr>
        <w:t>l’autorisation des personnes étant à</w:t>
      </w:r>
      <w:r>
        <w:rPr>
          <w:rFonts w:ascii="Times New Roman" w:eastAsiaTheme="minorHAnsi" w:hAnsi="Times New Roman"/>
          <w:lang w:val="fr-FR" w:bidi="ar-SA"/>
        </w:rPr>
        <w:t xml:space="preserve"> la source de ces informations. Alors, d</w:t>
      </w:r>
      <w:r w:rsidRPr="0017122E">
        <w:rPr>
          <w:rFonts w:ascii="Times New Roman" w:eastAsiaTheme="minorHAnsi" w:hAnsi="Times New Roman"/>
          <w:lang w:val="fr-FR" w:bidi="ar-SA"/>
        </w:rPr>
        <w:t>es auteurs doivent fournir une attribution de la paternité et une reconnaissance appropriées.</w:t>
      </w:r>
      <w:r>
        <w:rPr>
          <w:rFonts w:ascii="Times New Roman" w:eastAsiaTheme="minorHAnsi" w:hAnsi="Times New Roman"/>
          <w:lang w:val="fr-FR" w:bidi="ar-SA"/>
        </w:rPr>
        <w:t xml:space="preserve">     </w:t>
      </w:r>
    </w:p>
    <w:p w:rsidR="003E4CBB" w:rsidRPr="004C407D" w:rsidRDefault="003E4CBB" w:rsidP="003E4CBB">
      <w:pPr>
        <w:numPr>
          <w:ilvl w:val="0"/>
          <w:numId w:val="33"/>
        </w:numPr>
        <w:bidi w:val="0"/>
        <w:spacing w:before="100" w:beforeAutospacing="1" w:after="120"/>
        <w:jc w:val="both"/>
        <w:outlineLvl w:val="2"/>
        <w:rPr>
          <w:rFonts w:ascii="Times New Roman" w:eastAsia="SimSun" w:hAnsi="Times New Roman"/>
          <w:bdr w:val="none" w:sz="0" w:space="0" w:color="auto" w:frame="1"/>
          <w:lang w:val="fr-FR" w:eastAsia="fr-FR"/>
        </w:rPr>
      </w:pPr>
      <w:r w:rsidRPr="008644F6">
        <w:rPr>
          <w:rFonts w:ascii="Times New Roman" w:hAnsi="Times New Roman"/>
          <w:b/>
          <w:bCs/>
          <w:lang w:val="fr-FR" w:bidi="ar-SA"/>
        </w:rPr>
        <w:t>Erratum :</w:t>
      </w:r>
      <w:r w:rsidRPr="008644F6">
        <w:rPr>
          <w:rFonts w:ascii="Times New Roman" w:eastAsia="SimSun" w:hAnsi="Times New Roman"/>
          <w:bdr w:val="none" w:sz="0" w:space="0" w:color="auto" w:frame="1"/>
          <w:lang w:val="fr-FR" w:eastAsia="fr-FR"/>
        </w:rPr>
        <w:t xml:space="preserve">  </w:t>
      </w:r>
      <w:r w:rsidRPr="008644F6">
        <w:rPr>
          <w:rFonts w:ascii="Times New Roman" w:eastAsiaTheme="minorHAnsi" w:hAnsi="Times New Roman"/>
          <w:lang w:val="fr-FR" w:bidi="ar-SA"/>
        </w:rPr>
        <w:t>Tout auteur qui découvre, après sa publication, une erreur ou une inexactitude</w:t>
      </w:r>
      <w:r w:rsidRPr="008644F6">
        <w:rPr>
          <w:rFonts w:ascii="Times New Roman" w:eastAsia="SimSun" w:hAnsi="Times New Roman"/>
          <w:bdr w:val="none" w:sz="0" w:space="0" w:color="auto" w:frame="1"/>
          <w:lang w:val="fr-FR" w:eastAsia="fr-FR"/>
        </w:rPr>
        <w:t xml:space="preserve"> </w:t>
      </w:r>
      <w:r w:rsidRPr="008644F6">
        <w:rPr>
          <w:rFonts w:ascii="Times New Roman" w:eastAsiaTheme="minorHAnsi" w:hAnsi="Times New Roman"/>
          <w:lang w:val="fr-FR" w:bidi="ar-SA"/>
        </w:rPr>
        <w:t>importante dans son propre travail, est tenu d’en informer, sans délai, le comité de</w:t>
      </w:r>
      <w:r w:rsidRPr="008644F6">
        <w:rPr>
          <w:rFonts w:ascii="Times New Roman" w:eastAsia="SimSun" w:hAnsi="Times New Roman"/>
          <w:bdr w:val="none" w:sz="0" w:space="0" w:color="auto" w:frame="1"/>
          <w:lang w:val="fr-FR" w:eastAsia="fr-FR"/>
        </w:rPr>
        <w:t xml:space="preserve"> </w:t>
      </w:r>
      <w:r w:rsidRPr="008644F6">
        <w:rPr>
          <w:rFonts w:ascii="Times New Roman" w:eastAsiaTheme="minorHAnsi" w:hAnsi="Times New Roman"/>
          <w:lang w:val="fr-FR" w:bidi="ar-SA"/>
        </w:rPr>
        <w:t>rédaction de la revue et de coopérer avec celui-ci pour publier un erratum, voire pour</w:t>
      </w:r>
      <w:r w:rsidRPr="008644F6">
        <w:rPr>
          <w:rFonts w:ascii="Times New Roman" w:eastAsia="SimSun" w:hAnsi="Times New Roman"/>
          <w:bdr w:val="none" w:sz="0" w:space="0" w:color="auto" w:frame="1"/>
          <w:lang w:val="fr-FR" w:eastAsia="fr-FR"/>
        </w:rPr>
        <w:t xml:space="preserve"> </w:t>
      </w:r>
      <w:r w:rsidRPr="008644F6">
        <w:rPr>
          <w:rFonts w:ascii="Times New Roman" w:eastAsiaTheme="minorHAnsi" w:hAnsi="Times New Roman"/>
          <w:lang w:val="fr-FR" w:bidi="ar-SA"/>
        </w:rPr>
        <w:t>signifier le retrait de son article. Si le comité de rédaction ou l’éditeur de la revue</w:t>
      </w:r>
      <w:r w:rsidRPr="008644F6">
        <w:rPr>
          <w:rFonts w:ascii="Times New Roman" w:eastAsia="SimSun" w:hAnsi="Times New Roman"/>
          <w:bdr w:val="none" w:sz="0" w:space="0" w:color="auto" w:frame="1"/>
          <w:lang w:val="fr-FR" w:eastAsia="fr-FR"/>
        </w:rPr>
        <w:t xml:space="preserve"> </w:t>
      </w:r>
      <w:r w:rsidRPr="008644F6">
        <w:rPr>
          <w:rFonts w:ascii="Times New Roman" w:eastAsiaTheme="minorHAnsi" w:hAnsi="Times New Roman"/>
          <w:lang w:val="fr-FR" w:bidi="ar-SA"/>
        </w:rPr>
        <w:t>apprend, par une tierce personne, qu’un article déjà publié contient une erreur</w:t>
      </w:r>
      <w:r w:rsidRPr="008644F6">
        <w:rPr>
          <w:rFonts w:ascii="Times New Roman" w:eastAsia="SimSun" w:hAnsi="Times New Roman"/>
          <w:bdr w:val="none" w:sz="0" w:space="0" w:color="auto" w:frame="1"/>
          <w:lang w:val="fr-FR" w:eastAsia="fr-FR"/>
        </w:rPr>
        <w:t xml:space="preserve"> </w:t>
      </w:r>
      <w:r w:rsidRPr="008644F6">
        <w:rPr>
          <w:rFonts w:ascii="Times New Roman" w:eastAsiaTheme="minorHAnsi" w:hAnsi="Times New Roman"/>
          <w:lang w:val="fr-FR" w:bidi="ar-SA"/>
        </w:rPr>
        <w:t>importante, il doit en informer l’auteur. Ce dernier doit alors demander le retrait de son</w:t>
      </w:r>
      <w:r w:rsidRPr="008644F6">
        <w:rPr>
          <w:rFonts w:ascii="Times New Roman" w:eastAsia="SimSun" w:hAnsi="Times New Roman"/>
          <w:bdr w:val="none" w:sz="0" w:space="0" w:color="auto" w:frame="1"/>
          <w:lang w:val="fr-FR" w:eastAsia="fr-FR"/>
        </w:rPr>
        <w:t xml:space="preserve"> </w:t>
      </w:r>
      <w:r w:rsidRPr="008644F6">
        <w:rPr>
          <w:rFonts w:ascii="Times New Roman" w:eastAsiaTheme="minorHAnsi" w:hAnsi="Times New Roman"/>
          <w:lang w:val="fr-FR" w:bidi="ar-SA"/>
        </w:rPr>
        <w:t>article, le corriger ou bien fournir les éléments susceptibles d’en justifier le bien-fondé.</w:t>
      </w:r>
      <w:r w:rsidRPr="008644F6">
        <w:rPr>
          <w:rFonts w:ascii="Times New Roman" w:eastAsia="SimSun" w:hAnsi="Times New Roman"/>
          <w:bdr w:val="none" w:sz="0" w:space="0" w:color="auto" w:frame="1"/>
          <w:lang w:val="fr-FR" w:eastAsia="fr-FR"/>
        </w:rPr>
        <w:t xml:space="preserve"> </w:t>
      </w:r>
    </w:p>
    <w:p w:rsidR="003E4CBB" w:rsidRPr="006F7945" w:rsidRDefault="003E4CBB" w:rsidP="003E4CBB">
      <w:pPr>
        <w:numPr>
          <w:ilvl w:val="0"/>
          <w:numId w:val="33"/>
        </w:numPr>
        <w:bidi w:val="0"/>
        <w:jc w:val="both"/>
        <w:outlineLvl w:val="2"/>
        <w:rPr>
          <w:rFonts w:ascii="Times New Roman" w:eastAsia="SimSun" w:hAnsi="Times New Roman"/>
          <w:bdr w:val="none" w:sz="0" w:space="0" w:color="auto" w:frame="1"/>
          <w:lang w:val="fr-FR" w:eastAsia="fr-FR"/>
        </w:rPr>
      </w:pPr>
      <w:r w:rsidRPr="006928DC">
        <w:rPr>
          <w:rFonts w:ascii="Times New Roman" w:hAnsi="Times New Roman"/>
          <w:b/>
          <w:bCs/>
          <w:color w:val="0E101A"/>
          <w:lang w:val="fr-FR"/>
        </w:rPr>
        <w:t>Droits d'auteur :</w:t>
      </w:r>
      <w:r>
        <w:rPr>
          <w:rFonts w:ascii="Times New Roman" w:hAnsi="Times New Roman"/>
          <w:color w:val="0E101A"/>
          <w:lang w:val="fr-FR"/>
        </w:rPr>
        <w:t xml:space="preserve"> Le contenu de la revue </w:t>
      </w:r>
      <w:r w:rsidRPr="00DD120D">
        <w:rPr>
          <w:rFonts w:ascii="Times New Roman" w:hAnsi="Times New Roman"/>
          <w:color w:val="0E101A"/>
          <w:lang w:val="fr-FR"/>
        </w:rPr>
        <w:t>Traduction et Langues</w:t>
      </w:r>
      <w:r>
        <w:rPr>
          <w:rFonts w:ascii="Times New Roman" w:hAnsi="Times New Roman"/>
          <w:color w:val="0E101A"/>
          <w:lang w:val="fr-FR"/>
        </w:rPr>
        <w:t xml:space="preserve"> </w:t>
      </w:r>
      <w:r w:rsidRPr="006928DC">
        <w:rPr>
          <w:rFonts w:ascii="Times New Roman" w:hAnsi="Times New Roman"/>
          <w:b/>
          <w:bCs/>
          <w:color w:val="0E101A"/>
          <w:lang w:val="fr-FR"/>
        </w:rPr>
        <w:t xml:space="preserve">TRANSLANG </w:t>
      </w:r>
      <w:r w:rsidRPr="00DD120D">
        <w:rPr>
          <w:rFonts w:ascii="Times New Roman" w:hAnsi="Times New Roman"/>
          <w:color w:val="0E101A"/>
          <w:lang w:val="fr-FR"/>
        </w:rPr>
        <w:t xml:space="preserve">est </w:t>
      </w:r>
      <w:r>
        <w:rPr>
          <w:rFonts w:ascii="Times New Roman" w:hAnsi="Times New Roman"/>
          <w:color w:val="0E101A"/>
          <w:lang w:val="fr-FR"/>
        </w:rPr>
        <w:t xml:space="preserve">mis à disposition selon les termes de la </w:t>
      </w:r>
      <w:r w:rsidRPr="00DD120D">
        <w:rPr>
          <w:rFonts w:ascii="Times New Roman" w:hAnsi="Times New Roman"/>
          <w:color w:val="0E101A"/>
          <w:lang w:val="fr-FR"/>
        </w:rPr>
        <w:t xml:space="preserve">licence Creative Commons Attribution-NonCommercial 4.0 International License. </w:t>
      </w:r>
      <w:r w:rsidRPr="006928DC">
        <w:rPr>
          <w:rFonts w:ascii="Times New Roman" w:hAnsi="Times New Roman"/>
          <w:color w:val="0E101A"/>
          <w:lang w:val="fr-FR"/>
        </w:rPr>
        <w:t>Sous cette lice</w:t>
      </w:r>
      <w:r>
        <w:rPr>
          <w:rFonts w:ascii="Times New Roman" w:hAnsi="Times New Roman"/>
          <w:color w:val="0E101A"/>
          <w:lang w:val="fr-FR"/>
        </w:rPr>
        <w:t>nce de libre accès, la copie, la ré</w:t>
      </w:r>
      <w:r w:rsidRPr="006928DC">
        <w:rPr>
          <w:rFonts w:ascii="Times New Roman" w:hAnsi="Times New Roman"/>
          <w:color w:val="0E101A"/>
          <w:lang w:val="fr-FR"/>
        </w:rPr>
        <w:t>utilisation,</w:t>
      </w:r>
      <w:r>
        <w:rPr>
          <w:rFonts w:ascii="Times New Roman" w:hAnsi="Times New Roman"/>
          <w:color w:val="0E101A"/>
          <w:lang w:val="fr-FR"/>
        </w:rPr>
        <w:t xml:space="preserve"> la reproduction,</w:t>
      </w:r>
      <w:r w:rsidRPr="006928DC">
        <w:rPr>
          <w:rFonts w:ascii="Times New Roman" w:hAnsi="Times New Roman"/>
          <w:color w:val="0E101A"/>
          <w:lang w:val="fr-FR"/>
        </w:rPr>
        <w:t xml:space="preserve"> la diffusion, le transfert et </w:t>
      </w:r>
      <w:r>
        <w:rPr>
          <w:rFonts w:ascii="Times New Roman" w:hAnsi="Times New Roman"/>
          <w:color w:val="0E101A"/>
          <w:lang w:val="fr-FR"/>
        </w:rPr>
        <w:t>la communication</w:t>
      </w:r>
      <w:r w:rsidRPr="006928DC">
        <w:rPr>
          <w:rFonts w:ascii="Times New Roman" w:hAnsi="Times New Roman"/>
          <w:color w:val="0E101A"/>
          <w:lang w:val="fr-FR"/>
        </w:rPr>
        <w:t xml:space="preserve"> sont autorisés à condition que :  </w:t>
      </w:r>
      <w:r>
        <w:rPr>
          <w:rFonts w:ascii="Times New Roman" w:eastAsia="SimSun" w:hAnsi="Times New Roman"/>
          <w:bdr w:val="none" w:sz="0" w:space="0" w:color="auto" w:frame="1"/>
          <w:lang w:val="fr-FR" w:eastAsia="fr-FR"/>
        </w:rPr>
        <w:t xml:space="preserve"> </w:t>
      </w:r>
    </w:p>
    <w:p w:rsidR="003E4CBB" w:rsidRPr="00F64584" w:rsidRDefault="003E4CBB" w:rsidP="003E4CBB">
      <w:pPr>
        <w:pStyle w:val="NormalWeb"/>
        <w:spacing w:before="0" w:beforeAutospacing="0" w:after="0" w:afterAutospacing="0"/>
        <w:ind w:left="720"/>
        <w:jc w:val="both"/>
        <w:rPr>
          <w:color w:val="0E101A"/>
        </w:rPr>
      </w:pPr>
      <w:r w:rsidRPr="00F64584">
        <w:rPr>
          <w:color w:val="0E101A"/>
        </w:rPr>
        <w:t>L'auteur et la source de la publication soient cités (</w:t>
      </w:r>
      <w:r>
        <w:rPr>
          <w:color w:val="0E101A"/>
        </w:rPr>
        <w:t>Revue</w:t>
      </w:r>
      <w:r w:rsidRPr="00F64584">
        <w:rPr>
          <w:color w:val="0E101A"/>
        </w:rPr>
        <w:t>, maison d'édition et URL de l'œuv</w:t>
      </w:r>
      <w:r>
        <w:rPr>
          <w:color w:val="0E101A"/>
        </w:rPr>
        <w:t>re</w:t>
      </w:r>
      <w:r w:rsidRPr="00F64584">
        <w:rPr>
          <w:color w:val="0E101A"/>
        </w:rPr>
        <w:t>). Ils ne sont pas utilisés à des fins commerciales.</w:t>
      </w:r>
      <w:r>
        <w:rPr>
          <w:color w:val="0E101A"/>
        </w:rPr>
        <w:t xml:space="preserve">  </w:t>
      </w:r>
    </w:p>
    <w:p w:rsidR="003E4CBB" w:rsidRPr="00F64584" w:rsidRDefault="003E4CBB" w:rsidP="003E4CBB">
      <w:pPr>
        <w:pStyle w:val="NormalWeb"/>
        <w:spacing w:before="0" w:beforeAutospacing="0" w:after="0" w:afterAutospacing="0"/>
        <w:ind w:left="720"/>
        <w:jc w:val="both"/>
        <w:rPr>
          <w:color w:val="0E101A"/>
        </w:rPr>
      </w:pPr>
      <w:r w:rsidRPr="00F64584">
        <w:rPr>
          <w:color w:val="0E101A"/>
        </w:rPr>
        <w:t>L'existence et les spécifications de cette licence d'utilisatio</w:t>
      </w:r>
      <w:r>
        <w:rPr>
          <w:color w:val="0E101A"/>
        </w:rPr>
        <w:t xml:space="preserve">n sont mentionnées. Si l’œuvre </w:t>
      </w:r>
      <w:r w:rsidRPr="00F64584">
        <w:rPr>
          <w:color w:val="0E101A"/>
        </w:rPr>
        <w:t>est remixé</w:t>
      </w:r>
      <w:r>
        <w:rPr>
          <w:color w:val="0E101A"/>
        </w:rPr>
        <w:t>e</w:t>
      </w:r>
      <w:r w:rsidRPr="00F64584">
        <w:rPr>
          <w:color w:val="0E101A"/>
        </w:rPr>
        <w:t>, transformé</w:t>
      </w:r>
      <w:r>
        <w:rPr>
          <w:color w:val="0E101A"/>
        </w:rPr>
        <w:t>e</w:t>
      </w:r>
      <w:r w:rsidRPr="00F64584">
        <w:rPr>
          <w:color w:val="0E101A"/>
        </w:rPr>
        <w:t xml:space="preserve"> ou construit</w:t>
      </w:r>
      <w:r>
        <w:rPr>
          <w:color w:val="0E101A"/>
        </w:rPr>
        <w:t>e</w:t>
      </w:r>
      <w:r w:rsidRPr="00F64584">
        <w:rPr>
          <w:color w:val="0E101A"/>
        </w:rPr>
        <w:t>, sa distribution doit se faire sous la même licence que l'original.</w:t>
      </w:r>
      <w:r>
        <w:rPr>
          <w:color w:val="0E101A"/>
        </w:rPr>
        <w:t xml:space="preserve">  </w:t>
      </w:r>
    </w:p>
    <w:p w:rsidR="003E4CBB" w:rsidRPr="00F64584" w:rsidRDefault="003E4CBB" w:rsidP="003E4CBB">
      <w:pPr>
        <w:pStyle w:val="NormalWeb"/>
        <w:spacing w:before="0" w:beforeAutospacing="0" w:after="0" w:afterAutospacing="0"/>
        <w:ind w:left="720"/>
        <w:jc w:val="both"/>
        <w:rPr>
          <w:color w:val="0E101A"/>
        </w:rPr>
      </w:pPr>
      <w:r w:rsidRPr="00F64584">
        <w:rPr>
          <w:color w:val="0E101A"/>
        </w:rPr>
        <w:t xml:space="preserve">Ce type de licence facilite la liberté de réutilisation et garantit que le contenu de la revue peut être utilisé pour </w:t>
      </w:r>
      <w:r>
        <w:rPr>
          <w:color w:val="0E101A"/>
        </w:rPr>
        <w:t>d</w:t>
      </w:r>
      <w:r w:rsidRPr="00F64584">
        <w:rPr>
          <w:color w:val="0E101A"/>
        </w:rPr>
        <w:t>es besoins de la recherche universitaire.</w:t>
      </w:r>
      <w:r>
        <w:rPr>
          <w:color w:val="0E101A"/>
        </w:rPr>
        <w:t xml:space="preserve">   </w:t>
      </w:r>
    </w:p>
    <w:p w:rsidR="003E4CBB" w:rsidRDefault="003E4CBB" w:rsidP="003E4CBB">
      <w:pPr>
        <w:pStyle w:val="NormalWeb"/>
        <w:spacing w:before="0" w:beforeAutospacing="0" w:after="0" w:afterAutospacing="0"/>
        <w:ind w:left="720"/>
        <w:jc w:val="both"/>
        <w:rPr>
          <w:color w:val="0E101A"/>
        </w:rPr>
      </w:pPr>
      <w:r w:rsidRPr="00F64584">
        <w:rPr>
          <w:color w:val="0E101A"/>
        </w:rPr>
        <w:t xml:space="preserve">Les auteurs sont autorisés à réutiliser les </w:t>
      </w:r>
      <w:r>
        <w:rPr>
          <w:color w:val="0E101A"/>
        </w:rPr>
        <w:t>œuvres</w:t>
      </w:r>
      <w:r w:rsidRPr="00F64584">
        <w:rPr>
          <w:color w:val="0E101A"/>
        </w:rPr>
        <w:t xml:space="preserve"> publié</w:t>
      </w:r>
      <w:r>
        <w:rPr>
          <w:color w:val="0E101A"/>
        </w:rPr>
        <w:t>e</w:t>
      </w:r>
      <w:r w:rsidRPr="00F64584">
        <w:rPr>
          <w:color w:val="0E101A"/>
        </w:rPr>
        <w:t>s, c'est-à-dire que l</w:t>
      </w:r>
      <w:r>
        <w:rPr>
          <w:color w:val="0E101A"/>
        </w:rPr>
        <w:t>a post-impression</w:t>
      </w:r>
      <w:r w:rsidRPr="00F64584">
        <w:rPr>
          <w:color w:val="0E101A"/>
        </w:rPr>
        <w:t xml:space="preserve"> </w:t>
      </w:r>
      <w:r w:rsidRPr="00DE789A">
        <w:rPr>
          <w:b/>
          <w:bCs/>
          <w:color w:val="0E101A"/>
        </w:rPr>
        <w:t>‘post-print’</w:t>
      </w:r>
      <w:r w:rsidRPr="00F64584">
        <w:rPr>
          <w:color w:val="0E101A"/>
        </w:rPr>
        <w:t xml:space="preserve"> (fichier PDF final de l'éditeur) peut être archivé. Les auteurs sont encouragés à télécharger et à </w:t>
      </w:r>
      <w:r>
        <w:rPr>
          <w:color w:val="0E101A"/>
        </w:rPr>
        <w:t>archiver</w:t>
      </w:r>
      <w:r w:rsidRPr="00F64584">
        <w:rPr>
          <w:color w:val="0E101A"/>
        </w:rPr>
        <w:t xml:space="preserve"> leurs travaux </w:t>
      </w:r>
      <w:r>
        <w:rPr>
          <w:color w:val="0E101A"/>
        </w:rPr>
        <w:t xml:space="preserve">de recherche </w:t>
      </w:r>
      <w:r w:rsidRPr="00F64584">
        <w:rPr>
          <w:color w:val="0E101A"/>
        </w:rPr>
        <w:t>dans les dépôts institutionnels et publics, les réseaux scientifiques et sociaux, les sites web personnels, les blogs, etc.</w:t>
      </w:r>
      <w:r>
        <w:rPr>
          <w:color w:val="0E101A"/>
        </w:rPr>
        <w:t xml:space="preserve">         </w:t>
      </w:r>
    </w:p>
    <w:p w:rsidR="003E4CBB" w:rsidRDefault="003E4CBB" w:rsidP="003E4CBB">
      <w:pPr>
        <w:pStyle w:val="NormalWeb"/>
        <w:spacing w:before="0" w:beforeAutospacing="0" w:after="0" w:afterAutospacing="0"/>
        <w:ind w:left="720"/>
        <w:jc w:val="both"/>
        <w:rPr>
          <w:color w:val="0E101A"/>
        </w:rPr>
      </w:pPr>
    </w:p>
    <w:p w:rsidR="003E4CBB" w:rsidRPr="00F64584" w:rsidRDefault="003E4CBB" w:rsidP="003E4CBB">
      <w:pPr>
        <w:pStyle w:val="NormalWeb"/>
        <w:numPr>
          <w:ilvl w:val="0"/>
          <w:numId w:val="33"/>
        </w:numPr>
        <w:spacing w:before="0" w:beforeAutospacing="0" w:after="0" w:afterAutospacing="0"/>
        <w:jc w:val="both"/>
        <w:rPr>
          <w:color w:val="0E101A"/>
        </w:rPr>
      </w:pPr>
      <w:r w:rsidRPr="0018106E">
        <w:rPr>
          <w:b/>
          <w:bCs/>
          <w:color w:val="0E101A"/>
        </w:rPr>
        <w:t>Informations sur le financement</w:t>
      </w:r>
      <w:r>
        <w:rPr>
          <w:b/>
          <w:bCs/>
          <w:color w:val="0E101A"/>
        </w:rPr>
        <w:t xml:space="preserve"> </w:t>
      </w:r>
    </w:p>
    <w:p w:rsidR="003E4CBB" w:rsidRPr="00A6571E" w:rsidRDefault="003E4CBB" w:rsidP="003E4CBB">
      <w:pPr>
        <w:pStyle w:val="NormalWeb"/>
        <w:spacing w:before="0" w:beforeAutospacing="0" w:after="0" w:afterAutospacing="0"/>
        <w:ind w:left="720"/>
        <w:jc w:val="both"/>
      </w:pPr>
      <w:r w:rsidRPr="00F64584">
        <w:rPr>
          <w:color w:val="0E101A"/>
        </w:rPr>
        <w:t xml:space="preserve">Tous les auteurs doivent indiquer si leur recherche a bénéficié d'un financement privé ou public. Pour la soumission, les auteurs sont tenus d'indiquer tout soutien financier de </w:t>
      </w:r>
      <w:r w:rsidRPr="00A6571E">
        <w:lastRenderedPageBreak/>
        <w:t xml:space="preserve">sources privées ou publiques qui a pu être obtenu pour le recueil de l'analyse des données et l'interprétation des résultats ou même pour la rédaction du manuscrit. Chaque auteur doit fournir toutes les informations concernant les financements reçus pour les recherches et travaux soumis à la revue. Ces informations comprennent le nom de l'entité de financement, le numéro d'identification du fonds et la description du rôle joué par l'entité de financement dans le processus de recherche (sélection de l'hypothèse, conception de l'enquête/expérimentation, participation à toutes les phases, analyse, rédaction ou révision). Si l'entité de financement n'a pas participé à l'exécution du processus de recherche, cela doit également être expressément déclaré. Elle doit être déclarée : </w:t>
      </w:r>
    </w:p>
    <w:p w:rsidR="003E4CBB" w:rsidRPr="00A6571E" w:rsidRDefault="003E4CBB" w:rsidP="003E4CBB">
      <w:pPr>
        <w:pStyle w:val="NormalWeb"/>
        <w:spacing w:before="0" w:beforeAutospacing="0" w:after="0" w:afterAutospacing="0"/>
        <w:ind w:left="720"/>
        <w:jc w:val="both"/>
      </w:pPr>
      <w:r w:rsidRPr="00A6571E">
        <w:rPr>
          <w:b/>
          <w:bCs/>
        </w:rPr>
        <w:t>(Facultatif)</w:t>
      </w:r>
      <w:r w:rsidRPr="00A6571E">
        <w:t xml:space="preserve"> Dans la lettre d'introduction : cette information doit être incluse dans la lettre d'introduction envoyée lors de la soumission de l'article.</w:t>
      </w:r>
    </w:p>
    <w:p w:rsidR="003E4CBB" w:rsidRPr="00A003C8" w:rsidRDefault="003E4CBB" w:rsidP="00A003C8">
      <w:pPr>
        <w:pStyle w:val="NormalWeb"/>
        <w:spacing w:before="0" w:beforeAutospacing="0" w:after="0" w:afterAutospacing="0"/>
        <w:ind w:left="720"/>
        <w:jc w:val="both"/>
      </w:pPr>
      <w:r w:rsidRPr="00A6571E">
        <w:rPr>
          <w:b/>
          <w:bCs/>
        </w:rPr>
        <w:t>Dans l'article :</w:t>
      </w:r>
      <w:r w:rsidRPr="00A6571E">
        <w:t xml:space="preserve"> les informations relatives au financement doivent être incluses dans la dernière section, dans une note intitulée "Support" sous remerciements.  </w:t>
      </w:r>
      <w:r>
        <w:t xml:space="preserve">   </w:t>
      </w:r>
    </w:p>
    <w:p w:rsidR="003E4CBB" w:rsidRPr="008D49CB" w:rsidRDefault="003E4CBB" w:rsidP="003E4CBB">
      <w:pPr>
        <w:pStyle w:val="NormalWeb"/>
        <w:spacing w:before="0" w:beforeAutospacing="0" w:after="0" w:afterAutospacing="0"/>
        <w:jc w:val="both"/>
        <w:rPr>
          <w:color w:val="0E101A"/>
        </w:rPr>
      </w:pPr>
    </w:p>
    <w:p w:rsidR="003E4CBB" w:rsidRPr="004475E2" w:rsidRDefault="003E4CBB" w:rsidP="003E4CBB">
      <w:pPr>
        <w:pStyle w:val="NormalWeb"/>
        <w:spacing w:before="0" w:beforeAutospacing="0" w:after="0" w:afterAutospacing="0"/>
        <w:jc w:val="both"/>
        <w:rPr>
          <w:color w:val="0E101A"/>
          <w:lang w:val="en-US"/>
        </w:rPr>
      </w:pPr>
      <w:r>
        <w:rPr>
          <w:rStyle w:val="Strong"/>
          <w:rFonts w:eastAsia="Calibri"/>
          <w:color w:val="0E101A"/>
          <w:lang w:val="en-US"/>
        </w:rPr>
        <w:t xml:space="preserve">2. Obligations de l’éditeur </w:t>
      </w:r>
      <w:r>
        <w:rPr>
          <w:color w:val="0E101A"/>
          <w:lang w:val="en-US"/>
        </w:rPr>
        <w:t xml:space="preserve"> </w:t>
      </w:r>
    </w:p>
    <w:p w:rsidR="003E4CBB" w:rsidRPr="004475E2" w:rsidRDefault="003E4CBB" w:rsidP="003E4CBB">
      <w:pPr>
        <w:pStyle w:val="NormalWeb"/>
        <w:spacing w:before="0" w:beforeAutospacing="0" w:after="0" w:afterAutospacing="0"/>
        <w:jc w:val="both"/>
        <w:rPr>
          <w:color w:val="0E101A"/>
          <w:lang w:val="en-US"/>
        </w:rPr>
      </w:pPr>
      <w:r w:rsidRPr="004475E2">
        <w:rPr>
          <w:color w:val="0E101A"/>
          <w:lang w:val="en-US"/>
        </w:rPr>
        <w:t>  </w:t>
      </w:r>
      <w:r w:rsidRPr="004475E2">
        <w:rPr>
          <w:rStyle w:val="Strong"/>
          <w:rFonts w:eastAsia="Calibri"/>
          <w:color w:val="0E101A"/>
          <w:lang w:val="en-US"/>
        </w:rPr>
        <w:t> </w:t>
      </w:r>
    </w:p>
    <w:tbl>
      <w:tblPr>
        <w:tblStyle w:val="TableGrid"/>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9062"/>
      </w:tblGrid>
      <w:tr w:rsidR="003E4CBB" w:rsidRPr="006424BA" w:rsidTr="006C42CF">
        <w:tc>
          <w:tcPr>
            <w:tcW w:w="9062" w:type="dxa"/>
          </w:tcPr>
          <w:p w:rsidR="003E4CBB" w:rsidRDefault="003E4CBB" w:rsidP="003E4CBB">
            <w:pPr>
              <w:bidi w:val="0"/>
              <w:spacing w:before="120" w:after="200"/>
              <w:contextualSpacing/>
              <w:jc w:val="both"/>
              <w:rPr>
                <w:rFonts w:ascii="Times New Roman" w:eastAsia="SimSun" w:hAnsi="Times New Roman"/>
                <w:b/>
                <w:bCs/>
                <w:noProof/>
                <w:color w:val="006666"/>
                <w:kern w:val="52"/>
                <w:lang w:val="fr-FR" w:eastAsia="ar-SA"/>
              </w:rPr>
            </w:pPr>
            <w:r w:rsidRPr="006815E4">
              <w:rPr>
                <w:rFonts w:ascii="Times New Roman" w:eastAsia="SimSun" w:hAnsi="Times New Roman"/>
                <w:b/>
                <w:bCs/>
                <w:noProof/>
                <w:color w:val="006666"/>
                <w:kern w:val="52"/>
                <w:lang w:val="fr-FR" w:eastAsia="ar-SA"/>
              </w:rPr>
              <w:t xml:space="preserve">TRANSLANG s'engage à respecter des normes </w:t>
            </w:r>
            <w:r>
              <w:rPr>
                <w:rFonts w:ascii="Times New Roman" w:eastAsia="SimSun" w:hAnsi="Times New Roman"/>
                <w:b/>
                <w:bCs/>
                <w:noProof/>
                <w:color w:val="006666"/>
                <w:kern w:val="52"/>
                <w:lang w:val="fr-FR" w:eastAsia="ar-SA"/>
              </w:rPr>
              <w:t>d’éthique</w:t>
            </w:r>
            <w:r w:rsidRPr="006815E4">
              <w:rPr>
                <w:rFonts w:ascii="Times New Roman" w:eastAsia="SimSun" w:hAnsi="Times New Roman"/>
                <w:b/>
                <w:bCs/>
                <w:noProof/>
                <w:color w:val="006666"/>
                <w:kern w:val="52"/>
                <w:lang w:val="fr-FR" w:eastAsia="ar-SA"/>
              </w:rPr>
              <w:t xml:space="preserve"> dans sa politique éditoriale, où les rédacteurs s'efforcent constamment de garantir des processus d'examen par les pairs et des décisions éditoriales équitables, imparti</w:t>
            </w:r>
            <w:r>
              <w:rPr>
                <w:rFonts w:ascii="Times New Roman" w:eastAsia="SimSun" w:hAnsi="Times New Roman"/>
                <w:b/>
                <w:bCs/>
                <w:noProof/>
                <w:color w:val="006666"/>
                <w:kern w:val="52"/>
                <w:lang w:val="fr-FR" w:eastAsia="ar-SA"/>
              </w:rPr>
              <w:t>elles</w:t>
            </w:r>
            <w:r w:rsidRPr="006815E4">
              <w:rPr>
                <w:rFonts w:ascii="Times New Roman" w:eastAsia="SimSun" w:hAnsi="Times New Roman"/>
                <w:b/>
                <w:bCs/>
                <w:noProof/>
                <w:color w:val="006666"/>
                <w:kern w:val="52"/>
                <w:lang w:val="fr-FR" w:eastAsia="ar-SA"/>
              </w:rPr>
              <w:t xml:space="preserve"> et transparent</w:t>
            </w:r>
            <w:r>
              <w:rPr>
                <w:rFonts w:ascii="Times New Roman" w:eastAsia="SimSun" w:hAnsi="Times New Roman"/>
                <w:b/>
                <w:bCs/>
                <w:noProof/>
                <w:color w:val="006666"/>
                <w:kern w:val="52"/>
                <w:lang w:val="fr-FR" w:eastAsia="ar-SA"/>
              </w:rPr>
              <w:t>e</w:t>
            </w:r>
            <w:r w:rsidRPr="006815E4">
              <w:rPr>
                <w:rFonts w:ascii="Times New Roman" w:eastAsia="SimSun" w:hAnsi="Times New Roman"/>
                <w:b/>
                <w:bCs/>
                <w:noProof/>
                <w:color w:val="006666"/>
                <w:kern w:val="52"/>
                <w:lang w:val="fr-FR" w:eastAsia="ar-SA"/>
              </w:rPr>
              <w:t xml:space="preserve">s. Les </w:t>
            </w:r>
            <w:r>
              <w:rPr>
                <w:rFonts w:ascii="Times New Roman" w:eastAsia="SimSun" w:hAnsi="Times New Roman"/>
                <w:b/>
                <w:bCs/>
                <w:noProof/>
                <w:color w:val="006666"/>
                <w:kern w:val="52"/>
                <w:lang w:val="fr-FR" w:eastAsia="ar-SA"/>
              </w:rPr>
              <w:t>éditeurs</w:t>
            </w:r>
            <w:r w:rsidRPr="006815E4">
              <w:rPr>
                <w:rFonts w:ascii="Times New Roman" w:eastAsia="SimSun" w:hAnsi="Times New Roman"/>
                <w:b/>
                <w:bCs/>
                <w:noProof/>
                <w:color w:val="006666"/>
                <w:kern w:val="52"/>
                <w:lang w:val="fr-FR" w:eastAsia="ar-SA"/>
              </w:rPr>
              <w:t xml:space="preserve"> assument la responsabilité de tout ce qu'ils publient. Ils ont mis en place des procédures et des politiq</w:t>
            </w:r>
            <w:r>
              <w:rPr>
                <w:rFonts w:ascii="Times New Roman" w:eastAsia="SimSun" w:hAnsi="Times New Roman"/>
                <w:b/>
                <w:bCs/>
                <w:noProof/>
                <w:color w:val="006666"/>
                <w:kern w:val="52"/>
                <w:lang w:val="fr-FR" w:eastAsia="ar-SA"/>
              </w:rPr>
              <w:t xml:space="preserve">ues pour garantir la qualité des œuvres </w:t>
            </w:r>
            <w:r w:rsidRPr="006815E4">
              <w:rPr>
                <w:rFonts w:ascii="Times New Roman" w:eastAsia="SimSun" w:hAnsi="Times New Roman"/>
                <w:b/>
                <w:bCs/>
                <w:noProof/>
                <w:color w:val="006666"/>
                <w:kern w:val="52"/>
                <w:lang w:val="fr-FR" w:eastAsia="ar-SA"/>
              </w:rPr>
              <w:t>publié</w:t>
            </w:r>
            <w:r>
              <w:rPr>
                <w:rFonts w:ascii="Times New Roman" w:eastAsia="SimSun" w:hAnsi="Times New Roman"/>
                <w:b/>
                <w:bCs/>
                <w:noProof/>
                <w:color w:val="006666"/>
                <w:kern w:val="52"/>
                <w:lang w:val="fr-FR" w:eastAsia="ar-SA"/>
              </w:rPr>
              <w:t>es</w:t>
            </w:r>
            <w:r w:rsidRPr="006815E4">
              <w:rPr>
                <w:rFonts w:ascii="Times New Roman" w:eastAsia="SimSun" w:hAnsi="Times New Roman"/>
                <w:b/>
                <w:bCs/>
                <w:noProof/>
                <w:color w:val="006666"/>
                <w:kern w:val="52"/>
                <w:lang w:val="fr-FR" w:eastAsia="ar-SA"/>
              </w:rPr>
              <w:t xml:space="preserve"> par TRANSLANG et maintenir l'intégrité du </w:t>
            </w:r>
            <w:r>
              <w:rPr>
                <w:rFonts w:ascii="Times New Roman" w:eastAsia="SimSun" w:hAnsi="Times New Roman"/>
                <w:b/>
                <w:bCs/>
                <w:noProof/>
                <w:color w:val="006666"/>
                <w:kern w:val="52"/>
                <w:lang w:val="fr-FR" w:eastAsia="ar-SA"/>
              </w:rPr>
              <w:t xml:space="preserve">produit </w:t>
            </w:r>
            <w:r w:rsidRPr="006815E4">
              <w:rPr>
                <w:rFonts w:ascii="Times New Roman" w:eastAsia="SimSun" w:hAnsi="Times New Roman"/>
                <w:b/>
                <w:bCs/>
                <w:noProof/>
                <w:color w:val="006666"/>
                <w:kern w:val="52"/>
                <w:lang w:val="fr-FR" w:eastAsia="ar-SA"/>
              </w:rPr>
              <w:t xml:space="preserve">publié.   </w:t>
            </w:r>
            <w:r>
              <w:rPr>
                <w:rFonts w:ascii="Times New Roman" w:eastAsia="SimSun" w:hAnsi="Times New Roman"/>
                <w:b/>
                <w:bCs/>
                <w:noProof/>
                <w:color w:val="006666"/>
                <w:kern w:val="52"/>
                <w:lang w:val="fr-FR" w:eastAsia="ar-SA"/>
              </w:rPr>
              <w:t xml:space="preserve">   </w:t>
            </w:r>
          </w:p>
          <w:p w:rsidR="003E4CBB" w:rsidRPr="006815E4" w:rsidRDefault="003E4CBB" w:rsidP="003E4CBB">
            <w:pPr>
              <w:bidi w:val="0"/>
              <w:spacing w:before="120" w:after="200"/>
              <w:contextualSpacing/>
              <w:jc w:val="both"/>
              <w:rPr>
                <w:rFonts w:ascii="Times New Roman" w:eastAsia="SimSun" w:hAnsi="Times New Roman"/>
                <w:b/>
                <w:bCs/>
                <w:noProof/>
                <w:color w:val="006666"/>
                <w:kern w:val="52"/>
                <w:sz w:val="16"/>
                <w:szCs w:val="16"/>
                <w:lang w:val="fr-FR" w:eastAsia="ar-SA"/>
              </w:rPr>
            </w:pPr>
          </w:p>
        </w:tc>
      </w:tr>
    </w:tbl>
    <w:p w:rsidR="003E4CBB" w:rsidRPr="006815E4" w:rsidRDefault="003E4CBB" w:rsidP="003E4CBB">
      <w:pPr>
        <w:pStyle w:val="NormalWeb"/>
        <w:spacing w:before="0" w:beforeAutospacing="0" w:after="0" w:afterAutospacing="0"/>
        <w:jc w:val="both"/>
        <w:rPr>
          <w:color w:val="0E101A"/>
        </w:rPr>
      </w:pPr>
    </w:p>
    <w:p w:rsidR="003E4CBB" w:rsidRDefault="003E4CBB" w:rsidP="003E4CBB">
      <w:pPr>
        <w:pStyle w:val="NormalWeb"/>
        <w:numPr>
          <w:ilvl w:val="0"/>
          <w:numId w:val="33"/>
        </w:numPr>
        <w:spacing w:before="0" w:beforeAutospacing="0" w:after="0" w:afterAutospacing="0"/>
        <w:jc w:val="both"/>
        <w:rPr>
          <w:color w:val="0E101A"/>
        </w:rPr>
      </w:pPr>
      <w:r w:rsidRPr="00334DDA">
        <w:rPr>
          <w:b/>
          <w:bCs/>
          <w:color w:val="0E101A"/>
        </w:rPr>
        <w:t>Décisions de publication :</w:t>
      </w:r>
      <w:r w:rsidRPr="00ED1603">
        <w:rPr>
          <w:color w:val="0E101A"/>
        </w:rPr>
        <w:t xml:space="preserve"> </w:t>
      </w:r>
      <w:r w:rsidRPr="00EC3C0C">
        <w:rPr>
          <w:color w:val="0E101A"/>
        </w:rPr>
        <w:t xml:space="preserve">L’éditeur en chef de la revue est le responsable de la décision de publication des articles soumis à la revue. L'éditeur peut être guidé par les politiques éditoriales de la revue et contraint par les exigences légales qui seront alors en vigueur en ce qui concerne la diffamation, la violation du droit d'auteur et le plagiat. L'éditeur peut conférer avec les éditeurs associés ou les évaluateurs pour prendre cette décision.         </w:t>
      </w:r>
      <w:r>
        <w:rPr>
          <w:color w:val="0E101A"/>
        </w:rPr>
        <w:t xml:space="preserve">  </w:t>
      </w:r>
    </w:p>
    <w:p w:rsidR="003E4CBB" w:rsidRDefault="003E4CBB" w:rsidP="003E4CBB">
      <w:pPr>
        <w:pStyle w:val="NormalWeb"/>
        <w:spacing w:before="0" w:beforeAutospacing="0" w:after="0" w:afterAutospacing="0"/>
        <w:ind w:left="720"/>
        <w:jc w:val="both"/>
        <w:rPr>
          <w:color w:val="0E101A"/>
        </w:rPr>
      </w:pPr>
      <w:r w:rsidRPr="00EC3C0C">
        <w:rPr>
          <w:color w:val="0E101A"/>
        </w:rPr>
        <w:t>Le comité de rédaction de la revue évaluera initialement toutes les contributions. Le comité de rédaction est uniquement et indépendamment responsable de la sélection, du traitement et de la décision des articles soumis à la revue qui répondent aux objectifs éditoriaux et pourraient donc être publiés. Chaque article jugé convenable est envoyé à deux pairs examinateurs indépendants, experts dans leur domaine et capables d'évaluer les</w:t>
      </w:r>
      <w:r>
        <w:rPr>
          <w:color w:val="0E101A"/>
        </w:rPr>
        <w:t xml:space="preserve"> qualités spécifiques des manuscrits. L’éditeur-en-chef</w:t>
      </w:r>
      <w:r w:rsidRPr="00EC3C0C">
        <w:rPr>
          <w:color w:val="0E101A"/>
        </w:rPr>
        <w:t xml:space="preserve"> est responsable de la décision finale concernant l'acceptation ou le rejet de l'article.</w:t>
      </w:r>
      <w:r>
        <w:rPr>
          <w:color w:val="0E101A"/>
        </w:rPr>
        <w:t xml:space="preserve"> </w:t>
      </w:r>
    </w:p>
    <w:p w:rsidR="003E4CBB" w:rsidRDefault="003E4CBB" w:rsidP="003E4CBB">
      <w:pPr>
        <w:pStyle w:val="NormalWeb"/>
        <w:spacing w:before="0" w:beforeAutospacing="0" w:after="0" w:afterAutospacing="0"/>
        <w:ind w:left="720"/>
        <w:jc w:val="both"/>
        <w:rPr>
          <w:color w:val="0E101A"/>
        </w:rPr>
      </w:pPr>
      <w:r w:rsidRPr="00ED1603">
        <w:rPr>
          <w:color w:val="0E101A"/>
        </w:rPr>
        <w:t>La décision de publier un article sera toujours mesurée par son importance pour les chercheurs, les praticiens et les lecteurs potentiels. Les éditeurs doivent prendre des décisions impartiales et indépendantes de toute considération commerciale.</w:t>
      </w:r>
      <w:r>
        <w:rPr>
          <w:color w:val="0E101A"/>
        </w:rPr>
        <w:t xml:space="preserve">   </w:t>
      </w:r>
    </w:p>
    <w:p w:rsidR="003E4CBB" w:rsidRPr="005D282D" w:rsidRDefault="003E4CBB" w:rsidP="003E4CBB">
      <w:pPr>
        <w:pStyle w:val="ListParagraph"/>
        <w:numPr>
          <w:ilvl w:val="0"/>
          <w:numId w:val="33"/>
        </w:numPr>
        <w:bidi w:val="0"/>
        <w:spacing w:before="100" w:beforeAutospacing="1" w:after="120"/>
        <w:jc w:val="both"/>
        <w:outlineLvl w:val="2"/>
        <w:rPr>
          <w:rFonts w:ascii="Times New Roman" w:hAnsi="Times New Roman"/>
          <w:lang w:val="fr-FR" w:bidi="ar-SA"/>
        </w:rPr>
      </w:pPr>
      <w:r w:rsidRPr="00A27658">
        <w:rPr>
          <w:rFonts w:ascii="Times New Roman" w:eastAsiaTheme="minorHAnsi" w:hAnsi="Times New Roman"/>
          <w:b/>
          <w:bCs/>
          <w:color w:val="231F20"/>
          <w:lang w:val="fr-FR" w:bidi="ar-SA"/>
        </w:rPr>
        <w:t>Impartialité :</w:t>
      </w:r>
      <w:r w:rsidRPr="00A27658">
        <w:rPr>
          <w:rFonts w:ascii="Times New Roman" w:eastAsiaTheme="minorHAnsi" w:hAnsi="Times New Roman"/>
          <w:color w:val="231F20"/>
          <w:lang w:val="fr-FR" w:bidi="ar-SA"/>
        </w:rPr>
        <w:t xml:space="preserve"> L’édi</w:t>
      </w:r>
      <w:r w:rsidRPr="00A27658">
        <w:rPr>
          <w:rFonts w:ascii="Times New Roman" w:hAnsi="Times New Roman"/>
          <w:lang w:val="fr-FR"/>
        </w:rPr>
        <w:t xml:space="preserve">teur en chef doit s'assurer que </w:t>
      </w:r>
      <w:r w:rsidRPr="00A27658">
        <w:rPr>
          <w:rFonts w:ascii="Times New Roman" w:eastAsiaTheme="minorHAnsi" w:hAnsi="Times New Roman"/>
          <w:color w:val="222222"/>
          <w:lang w:val="fr-FR" w:bidi="ar-SA"/>
        </w:rPr>
        <w:t>les manuscrits soient évalués sur leur seul contenu intellectuel ou scientifique, sans</w:t>
      </w:r>
      <w:r w:rsidRPr="00A27658">
        <w:rPr>
          <w:rFonts w:ascii="Times New Roman" w:hAnsi="Times New Roman"/>
          <w:lang w:val="fr-FR" w:bidi="ar-SA"/>
        </w:rPr>
        <w:t xml:space="preserve"> </w:t>
      </w:r>
      <w:r w:rsidRPr="00A27658">
        <w:rPr>
          <w:rFonts w:ascii="Times New Roman" w:eastAsiaTheme="minorHAnsi" w:hAnsi="Times New Roman"/>
          <w:color w:val="222222"/>
          <w:lang w:val="fr-FR" w:bidi="ar-SA"/>
        </w:rPr>
        <w:t>distinction de race, de sexe, d’orientation sexuelle, de convictions religieuses, de</w:t>
      </w:r>
      <w:r w:rsidRPr="00A27658">
        <w:rPr>
          <w:rFonts w:ascii="Times New Roman" w:hAnsi="Times New Roman"/>
          <w:lang w:val="fr-FR" w:bidi="ar-SA"/>
        </w:rPr>
        <w:t xml:space="preserve"> </w:t>
      </w:r>
      <w:r w:rsidRPr="00A27658">
        <w:rPr>
          <w:rFonts w:ascii="Times New Roman" w:eastAsiaTheme="minorHAnsi" w:hAnsi="Times New Roman"/>
          <w:color w:val="222222"/>
          <w:lang w:val="fr-FR" w:bidi="ar-SA"/>
        </w:rPr>
        <w:t xml:space="preserve">nationalité, d’affiliation universitaire ou de philosophie politique des auteurs.      </w:t>
      </w:r>
    </w:p>
    <w:p w:rsidR="003E4CBB" w:rsidRPr="005D282D" w:rsidRDefault="003E4CBB" w:rsidP="003E4CBB">
      <w:pPr>
        <w:pStyle w:val="ListParagraph"/>
        <w:bidi w:val="0"/>
        <w:spacing w:before="100" w:beforeAutospacing="1" w:after="120"/>
        <w:jc w:val="both"/>
        <w:outlineLvl w:val="2"/>
        <w:rPr>
          <w:rFonts w:ascii="Times New Roman" w:hAnsi="Times New Roman"/>
          <w:color w:val="0E101A"/>
          <w:lang w:val="fr-FR"/>
        </w:rPr>
      </w:pPr>
      <w:r w:rsidRPr="005D282D">
        <w:rPr>
          <w:rFonts w:ascii="Times New Roman" w:hAnsi="Times New Roman"/>
          <w:color w:val="0E101A"/>
          <w:lang w:val="fr-FR"/>
        </w:rPr>
        <w:t>Chaque article soumis est placé sous la responsabilité d'un membre du comité de rédaction ou du comité scientifique international, qui s'engage à le faire évaluer par deux pairs experts dans le domaine et qui l'évaluent de manière anonyme.</w:t>
      </w:r>
    </w:p>
    <w:p w:rsidR="003E4CBB" w:rsidRPr="005D282D" w:rsidRDefault="003E4CBB" w:rsidP="003E4CBB">
      <w:pPr>
        <w:pStyle w:val="ListParagraph"/>
        <w:bidi w:val="0"/>
        <w:spacing w:before="100" w:beforeAutospacing="1" w:after="120"/>
        <w:jc w:val="both"/>
        <w:outlineLvl w:val="2"/>
        <w:rPr>
          <w:rFonts w:ascii="Times New Roman" w:hAnsi="Times New Roman"/>
          <w:color w:val="0E101A"/>
          <w:lang w:val="fr-FR"/>
        </w:rPr>
      </w:pPr>
      <w:r w:rsidRPr="005D282D">
        <w:rPr>
          <w:rFonts w:ascii="Times New Roman" w:hAnsi="Times New Roman"/>
          <w:color w:val="0E101A"/>
          <w:lang w:val="fr-FR"/>
        </w:rPr>
        <w:lastRenderedPageBreak/>
        <w:t xml:space="preserve">Les articles évalués sont traités de manière confidentielle par les membres du comité de rédaction, les membres du comité scientifique international et les évaluateurs. </w:t>
      </w:r>
    </w:p>
    <w:p w:rsidR="003E4CBB" w:rsidRDefault="003E4CBB" w:rsidP="003E4CBB">
      <w:pPr>
        <w:pStyle w:val="ListParagraph"/>
        <w:bidi w:val="0"/>
        <w:spacing w:before="100" w:beforeAutospacing="1" w:after="120"/>
        <w:jc w:val="both"/>
        <w:outlineLvl w:val="2"/>
        <w:rPr>
          <w:rFonts w:ascii="Times New Roman" w:hAnsi="Times New Roman"/>
          <w:color w:val="0E101A"/>
          <w:lang w:val="fr-FR"/>
        </w:rPr>
      </w:pPr>
      <w:r w:rsidRPr="005D282D">
        <w:rPr>
          <w:rFonts w:ascii="Times New Roman" w:hAnsi="Times New Roman"/>
          <w:color w:val="0E101A"/>
          <w:lang w:val="fr-FR"/>
        </w:rPr>
        <w:t xml:space="preserve">Le comité de rédaction évaluera et reconnaîtra la contribution de tous ceux qui ont participé à l'examen du manuscrit soumis à la revue. </w:t>
      </w:r>
      <w:r>
        <w:rPr>
          <w:rFonts w:ascii="Times New Roman" w:hAnsi="Times New Roman"/>
          <w:color w:val="0E101A"/>
          <w:lang w:val="fr-FR"/>
        </w:rPr>
        <w:t>Le comité éditorial</w:t>
      </w:r>
      <w:r w:rsidRPr="005D282D">
        <w:rPr>
          <w:rFonts w:ascii="Times New Roman" w:hAnsi="Times New Roman"/>
          <w:color w:val="0E101A"/>
          <w:lang w:val="fr-FR"/>
        </w:rPr>
        <w:t xml:space="preserve"> encouragera également les autorités académiques à reconnaître les activités d'évaluation par les pairs comme faisant partie du processus scientifique et devrait refuser les évaluateurs qui soumettent des rapports de mauvaise qualité, inappropriés, irrespectueux ou remis après le délai convenu. </w:t>
      </w:r>
      <w:r>
        <w:rPr>
          <w:rFonts w:ascii="Times New Roman" w:hAnsi="Times New Roman"/>
          <w:color w:val="0E101A"/>
          <w:lang w:val="fr-FR"/>
        </w:rPr>
        <w:t xml:space="preserve">  </w:t>
      </w:r>
    </w:p>
    <w:p w:rsidR="003E4CBB" w:rsidRDefault="003E4CBB" w:rsidP="003E4CBB">
      <w:pPr>
        <w:pStyle w:val="ListParagraph"/>
        <w:bidi w:val="0"/>
        <w:spacing w:before="100" w:beforeAutospacing="1" w:after="120"/>
        <w:jc w:val="both"/>
        <w:outlineLvl w:val="2"/>
        <w:rPr>
          <w:rFonts w:ascii="Times New Roman" w:hAnsi="Times New Roman"/>
          <w:color w:val="0E101A"/>
          <w:lang w:val="fr-FR"/>
        </w:rPr>
      </w:pPr>
    </w:p>
    <w:p w:rsidR="003E4CBB" w:rsidRPr="00DD33A9" w:rsidRDefault="003E4CBB" w:rsidP="003E4CBB">
      <w:pPr>
        <w:pStyle w:val="ListParagraph"/>
        <w:numPr>
          <w:ilvl w:val="0"/>
          <w:numId w:val="33"/>
        </w:numPr>
        <w:bidi w:val="0"/>
        <w:spacing w:before="100" w:beforeAutospacing="1" w:after="120"/>
        <w:jc w:val="both"/>
        <w:outlineLvl w:val="2"/>
        <w:rPr>
          <w:rFonts w:ascii="Times New Roman" w:hAnsi="Times New Roman"/>
          <w:color w:val="0E101A"/>
          <w:lang w:val="fr-FR"/>
        </w:rPr>
      </w:pPr>
      <w:r w:rsidRPr="00F71CCC">
        <w:rPr>
          <w:rFonts w:ascii="Times New Roman" w:eastAsiaTheme="minorHAnsi" w:hAnsi="Times New Roman"/>
          <w:b/>
          <w:bCs/>
          <w:lang w:val="fr-FR" w:bidi="ar-SA"/>
        </w:rPr>
        <w:t>Confidentialité </w:t>
      </w:r>
      <w:r w:rsidRPr="00F71CCC">
        <w:rPr>
          <w:rFonts w:ascii="Times New Roman" w:eastAsiaTheme="minorHAnsi" w:hAnsi="Times New Roman"/>
          <w:lang w:val="fr-FR" w:bidi="ar-SA"/>
        </w:rPr>
        <w:t>: L’édi</w:t>
      </w:r>
      <w:r w:rsidRPr="00F71CCC">
        <w:rPr>
          <w:rFonts w:ascii="Times New Roman" w:hAnsi="Times New Roman"/>
          <w:lang w:val="fr-FR"/>
        </w:rPr>
        <w:t xml:space="preserve">teur en chef et les membres du comité de rédaction doivent traiter </w:t>
      </w:r>
      <w:r w:rsidRPr="00F71CCC">
        <w:rPr>
          <w:rFonts w:ascii="Times New Roman" w:eastAsiaTheme="minorHAnsi" w:hAnsi="Times New Roman"/>
          <w:lang w:val="fr-FR" w:bidi="ar-SA"/>
        </w:rPr>
        <w:t>les manuscrits reçus pour évaluation comme des documents confidentiels. Aucun renseignement sur un manuscrit soumis à la revue n’est divulgué à d’autres personnes que le ou les auteur(s), les évaluateurs potentiels et, éventuellement, l’éditeur.</w:t>
      </w:r>
      <w:r w:rsidRPr="00F71CCC">
        <w:rPr>
          <w:rFonts w:ascii="Georgia" w:eastAsiaTheme="minorHAnsi" w:hAnsi="Georgia" w:cs="Georgia"/>
          <w:lang w:val="fr-FR" w:bidi="ar-SA"/>
        </w:rPr>
        <w:t xml:space="preserve">      </w:t>
      </w:r>
    </w:p>
    <w:p w:rsidR="003E4CBB" w:rsidRDefault="003E4CBB" w:rsidP="003E4CBB">
      <w:pPr>
        <w:pStyle w:val="ListParagraph"/>
        <w:bidi w:val="0"/>
        <w:spacing w:before="100" w:beforeAutospacing="1" w:after="120"/>
        <w:jc w:val="both"/>
        <w:outlineLvl w:val="2"/>
        <w:rPr>
          <w:rFonts w:ascii="Times New Roman" w:eastAsiaTheme="minorHAnsi" w:hAnsi="Times New Roman"/>
          <w:b/>
          <w:bCs/>
          <w:lang w:val="fr-FR" w:bidi="ar-SA"/>
        </w:rPr>
      </w:pPr>
    </w:p>
    <w:p w:rsidR="003E4CBB" w:rsidRPr="00075220" w:rsidRDefault="003E4CBB" w:rsidP="003E4CBB">
      <w:pPr>
        <w:pStyle w:val="ListParagraph"/>
        <w:bidi w:val="0"/>
        <w:spacing w:before="100" w:beforeAutospacing="1" w:after="120"/>
        <w:jc w:val="both"/>
        <w:outlineLvl w:val="2"/>
        <w:rPr>
          <w:rFonts w:ascii="Times New Roman" w:hAnsi="Times New Roman"/>
          <w:color w:val="0E101A"/>
          <w:lang w:val="fr-FR"/>
        </w:rPr>
      </w:pPr>
      <w:r w:rsidRPr="00F71CCC">
        <w:rPr>
          <w:rFonts w:ascii="Georgia" w:eastAsiaTheme="minorHAnsi" w:hAnsi="Georgia" w:cs="Georgia"/>
          <w:lang w:val="fr-FR" w:bidi="ar-SA"/>
        </w:rPr>
        <w:t xml:space="preserve"> </w:t>
      </w:r>
    </w:p>
    <w:p w:rsidR="003E4CBB" w:rsidRPr="004C0BED" w:rsidRDefault="003E4CBB" w:rsidP="003E4CBB">
      <w:pPr>
        <w:pStyle w:val="ListParagraph"/>
        <w:numPr>
          <w:ilvl w:val="0"/>
          <w:numId w:val="33"/>
        </w:numPr>
        <w:bidi w:val="0"/>
        <w:spacing w:before="100" w:beforeAutospacing="1" w:after="120"/>
        <w:jc w:val="both"/>
        <w:outlineLvl w:val="2"/>
        <w:rPr>
          <w:rFonts w:ascii="Times New Roman" w:hAnsi="Times New Roman"/>
          <w:lang w:val="fr-FR"/>
        </w:rPr>
      </w:pPr>
      <w:r w:rsidRPr="004C0BED">
        <w:rPr>
          <w:rFonts w:ascii="Times New Roman" w:hAnsi="Times New Roman"/>
          <w:b/>
          <w:bCs/>
          <w:lang w:val="fr-FR"/>
        </w:rPr>
        <w:t>Identifier et prévenir les fautes professionnelles</w:t>
      </w:r>
      <w:r w:rsidRPr="004C0BED">
        <w:rPr>
          <w:rFonts w:ascii="Times New Roman" w:hAnsi="Times New Roman"/>
          <w:lang w:val="fr-FR"/>
        </w:rPr>
        <w:t xml:space="preserve"> : En aucun cas, la revue </w:t>
      </w:r>
      <w:r w:rsidRPr="004C0BED">
        <w:rPr>
          <w:rFonts w:ascii="Times New Roman" w:hAnsi="Times New Roman"/>
          <w:b/>
          <w:bCs/>
          <w:lang w:val="fr-FR"/>
        </w:rPr>
        <w:t xml:space="preserve">TRANSLANG </w:t>
      </w:r>
      <w:r w:rsidRPr="004C0BED">
        <w:rPr>
          <w:rFonts w:ascii="Times New Roman" w:hAnsi="Times New Roman"/>
          <w:lang w:val="fr-FR"/>
        </w:rPr>
        <w:t xml:space="preserve">et les membres du comité de rédaction et du comité scientifique international ne doivent encourager une quelconque inconduite ou permettre sciemment qu'une telle inconduite se produise.   </w:t>
      </w:r>
    </w:p>
    <w:p w:rsidR="003E4CBB" w:rsidRPr="004C0BED" w:rsidRDefault="003E4CBB" w:rsidP="003E4CBB">
      <w:pPr>
        <w:pStyle w:val="ListParagraph"/>
        <w:bidi w:val="0"/>
        <w:spacing w:before="100" w:beforeAutospacing="1" w:after="120"/>
        <w:jc w:val="both"/>
        <w:outlineLvl w:val="2"/>
        <w:rPr>
          <w:rFonts w:ascii="Times New Roman" w:hAnsi="Times New Roman"/>
          <w:lang w:val="fr-FR"/>
        </w:rPr>
      </w:pPr>
      <w:r w:rsidRPr="004C0BED">
        <w:rPr>
          <w:rFonts w:ascii="Times New Roman" w:hAnsi="Times New Roman"/>
          <w:lang w:val="fr-FR"/>
        </w:rPr>
        <w:t xml:space="preserve">Les membres du comité de rédaction et du comité scientifique international s'efforceront de prévenir les fautes en informant les auteurs et les examinateurs de leur comportement d’éthique. </w:t>
      </w:r>
      <w:r>
        <w:rPr>
          <w:rFonts w:ascii="Times New Roman" w:hAnsi="Times New Roman"/>
          <w:lang w:val="fr-FR"/>
        </w:rPr>
        <w:t xml:space="preserve"> </w:t>
      </w:r>
    </w:p>
    <w:p w:rsidR="003E4CBB" w:rsidRPr="004C0BED" w:rsidRDefault="003E4CBB" w:rsidP="003E4CBB">
      <w:pPr>
        <w:pStyle w:val="ListParagraph"/>
        <w:bidi w:val="0"/>
        <w:spacing w:before="100" w:beforeAutospacing="1" w:after="120"/>
        <w:jc w:val="both"/>
        <w:outlineLvl w:val="2"/>
        <w:rPr>
          <w:rFonts w:ascii="Times New Roman" w:hAnsi="Times New Roman"/>
          <w:lang w:val="fr-FR"/>
        </w:rPr>
      </w:pPr>
      <w:r w:rsidRPr="004C0BED">
        <w:rPr>
          <w:rFonts w:ascii="Times New Roman" w:hAnsi="Times New Roman"/>
          <w:lang w:val="fr-FR"/>
        </w:rPr>
        <w:t>Il est demandé aux membres du comité de rédaction, du comité scientifique et aux évaluateurs d'être conscients de tous les types d'inconduite afin d'identifier les articles dans lesquels une inconduite de quelque nature que ce soit a ou semble avoir été commise et de traiter les allégations en conséquence.</w:t>
      </w:r>
    </w:p>
    <w:p w:rsidR="003E4CBB" w:rsidRPr="004C0BED" w:rsidRDefault="003E4CBB" w:rsidP="003E4CBB">
      <w:pPr>
        <w:pStyle w:val="ListParagraph"/>
        <w:bidi w:val="0"/>
        <w:spacing w:before="100" w:beforeAutospacing="1" w:after="120"/>
        <w:jc w:val="both"/>
        <w:outlineLvl w:val="2"/>
        <w:rPr>
          <w:rFonts w:ascii="Times New Roman" w:hAnsi="Times New Roman"/>
          <w:lang w:val="fr-FR"/>
        </w:rPr>
      </w:pPr>
      <w:r w:rsidRPr="004C0BED">
        <w:rPr>
          <w:rFonts w:ascii="Times New Roman" w:hAnsi="Times New Roman"/>
          <w:lang w:val="fr-FR"/>
        </w:rPr>
        <w:t xml:space="preserve">En cas d'inconduite, l’éditeur en chef de la revue est responsable de la résolution du problème. Il ou elle peut travailler avec d’autres éditeurs associés, les membres du comité de rédaction et du comité scientifique, les pairs examinateurs et des experts du domaine.   </w:t>
      </w:r>
    </w:p>
    <w:p w:rsidR="003E4CBB" w:rsidRPr="004C0BED" w:rsidRDefault="003E4CBB" w:rsidP="003E4CBB">
      <w:pPr>
        <w:pStyle w:val="ListParagraph"/>
        <w:bidi w:val="0"/>
        <w:spacing w:before="100" w:beforeAutospacing="1" w:after="120"/>
        <w:jc w:val="both"/>
        <w:outlineLvl w:val="2"/>
        <w:rPr>
          <w:rFonts w:ascii="Times New Roman" w:hAnsi="Times New Roman"/>
          <w:lang w:val="fr-FR"/>
        </w:rPr>
      </w:pPr>
      <w:r w:rsidRPr="004C407D">
        <w:rPr>
          <w:rFonts w:ascii="Times New Roman" w:hAnsi="Times New Roman"/>
          <w:lang w:val="fr-FR"/>
        </w:rPr>
        <w:t xml:space="preserve">Le problème sera documenté en conséquence. Toutes les questions factuelles doivent être documentées : qui, quoi, quand, où et pourquoi. </w:t>
      </w:r>
      <w:r w:rsidRPr="004C0BED">
        <w:rPr>
          <w:rFonts w:ascii="Times New Roman" w:hAnsi="Times New Roman"/>
          <w:lang w:val="fr-FR"/>
        </w:rPr>
        <w:t xml:space="preserve">Tous les documents pertinents doivent être conservés, notamment le ou les articles concernés. </w:t>
      </w:r>
    </w:p>
    <w:p w:rsidR="003E4CBB" w:rsidRPr="004C0BED" w:rsidRDefault="003E4CBB" w:rsidP="003E4CBB">
      <w:pPr>
        <w:pStyle w:val="ListParagraph"/>
        <w:bidi w:val="0"/>
        <w:spacing w:before="100" w:beforeAutospacing="1" w:after="120"/>
        <w:jc w:val="both"/>
        <w:outlineLvl w:val="2"/>
        <w:rPr>
          <w:rFonts w:ascii="Times New Roman" w:hAnsi="Times New Roman"/>
          <w:lang w:val="fr-FR"/>
        </w:rPr>
      </w:pPr>
      <w:r w:rsidRPr="004C0BED">
        <w:rPr>
          <w:rFonts w:ascii="Times New Roman" w:hAnsi="Times New Roman"/>
          <w:lang w:val="fr-FR"/>
        </w:rPr>
        <w:t xml:space="preserve">L’éditeur en chef de la revue prendra contact avec l'auteur correspondant ou le (s) co-auteur (s). L'auteur est ainsi autorisé à répondre ou à commenter la plainte, l'allégation ou le litige. </w:t>
      </w:r>
    </w:p>
    <w:p w:rsidR="003E4CBB" w:rsidRPr="004C0BED" w:rsidRDefault="003E4CBB" w:rsidP="003E4CBB">
      <w:pPr>
        <w:pStyle w:val="ListParagraph"/>
        <w:bidi w:val="0"/>
        <w:spacing w:before="100" w:beforeAutospacing="1" w:after="120"/>
        <w:jc w:val="both"/>
        <w:outlineLvl w:val="2"/>
        <w:rPr>
          <w:rFonts w:ascii="Times New Roman" w:hAnsi="Times New Roman"/>
          <w:lang w:val="fr-FR"/>
        </w:rPr>
      </w:pPr>
      <w:r w:rsidRPr="004C0BED">
        <w:rPr>
          <w:rFonts w:ascii="Times New Roman" w:hAnsi="Times New Roman"/>
          <w:lang w:val="fr-FR"/>
        </w:rPr>
        <w:t xml:space="preserve">Si une faute a ou semble avoir été commise, ou dans le cas de corrections nécessaires, le comité de rédaction traite Des différents cas en suivant les recommandations appropriées du COPE.   </w:t>
      </w:r>
    </w:p>
    <w:p w:rsidR="003E4CBB" w:rsidRPr="004C0BED" w:rsidRDefault="003E4CBB" w:rsidP="003E4CBB">
      <w:pPr>
        <w:pStyle w:val="ListParagraph"/>
        <w:bidi w:val="0"/>
        <w:spacing w:before="100" w:beforeAutospacing="1" w:after="120"/>
        <w:jc w:val="both"/>
        <w:outlineLvl w:val="2"/>
        <w:rPr>
          <w:rFonts w:ascii="Times New Roman" w:hAnsi="Times New Roman"/>
          <w:lang w:val="fr-FR"/>
        </w:rPr>
      </w:pPr>
      <w:r w:rsidRPr="004C0BED">
        <w:rPr>
          <w:rFonts w:ascii="Times New Roman" w:hAnsi="Times New Roman"/>
          <w:lang w:val="fr-FR"/>
        </w:rPr>
        <w:t xml:space="preserve">Un grand soin sera apporté pour distinguer les cas d'erreur humaine honnête de l'intention délibérée de tricher. </w:t>
      </w:r>
    </w:p>
    <w:p w:rsidR="003E4CBB" w:rsidRPr="004C0BED" w:rsidRDefault="003E4CBB" w:rsidP="003E4CBB">
      <w:pPr>
        <w:pStyle w:val="ListParagraph"/>
        <w:bidi w:val="0"/>
        <w:spacing w:before="100" w:beforeAutospacing="1" w:after="120"/>
        <w:jc w:val="both"/>
        <w:outlineLvl w:val="2"/>
        <w:rPr>
          <w:rFonts w:ascii="Times New Roman" w:hAnsi="Times New Roman"/>
          <w:lang w:val="fr-FR"/>
        </w:rPr>
      </w:pPr>
      <w:r w:rsidRPr="004C0BED">
        <w:rPr>
          <w:rFonts w:ascii="Times New Roman" w:hAnsi="Times New Roman"/>
          <w:lang w:val="fr-FR"/>
        </w:rPr>
        <w:t xml:space="preserve">Le comité éditorial envisagera de rétracter une publication en cas de mauvaise conduite, d'émettre une expression de préoccupation en cas de preuve non concluante de mauvaise conduite, ou d'émettre une demande de correction d'un segment trompeur.   </w:t>
      </w:r>
    </w:p>
    <w:p w:rsidR="003E4CBB" w:rsidRPr="004C0BED" w:rsidRDefault="003E4CBB" w:rsidP="003E4CBB">
      <w:pPr>
        <w:pStyle w:val="ListParagraph"/>
        <w:bidi w:val="0"/>
        <w:spacing w:before="100" w:beforeAutospacing="1" w:after="120"/>
        <w:jc w:val="both"/>
        <w:outlineLvl w:val="2"/>
        <w:rPr>
          <w:rFonts w:ascii="Times New Roman" w:hAnsi="Times New Roman"/>
          <w:lang w:val="fr-FR"/>
        </w:rPr>
      </w:pPr>
    </w:p>
    <w:p w:rsidR="003E4CBB" w:rsidRPr="004C0BED" w:rsidRDefault="003E4CBB" w:rsidP="003E4CBB">
      <w:pPr>
        <w:pStyle w:val="ListParagraph"/>
        <w:numPr>
          <w:ilvl w:val="0"/>
          <w:numId w:val="33"/>
        </w:numPr>
        <w:bidi w:val="0"/>
        <w:spacing w:before="100" w:beforeAutospacing="1" w:after="120"/>
        <w:jc w:val="both"/>
        <w:outlineLvl w:val="2"/>
        <w:rPr>
          <w:rFonts w:ascii="Times New Roman" w:hAnsi="Times New Roman"/>
          <w:lang w:val="fr-FR" w:bidi="ar-SA"/>
        </w:rPr>
      </w:pPr>
      <w:r w:rsidRPr="004C0BED">
        <w:rPr>
          <w:rFonts w:ascii="Times New Roman" w:hAnsi="Times New Roman"/>
          <w:b/>
          <w:bCs/>
          <w:lang w:val="fr-FR" w:bidi="ar-SA"/>
        </w:rPr>
        <w:t xml:space="preserve">Conflit d’intérêt et utilisation des données : </w:t>
      </w:r>
      <w:r w:rsidRPr="004C0BED">
        <w:rPr>
          <w:rFonts w:ascii="Times New Roman" w:eastAsiaTheme="minorHAnsi" w:hAnsi="Times New Roman"/>
          <w:lang w:val="fr-FR" w:bidi="ar-SA"/>
        </w:rPr>
        <w:t xml:space="preserve">Les données présentées dans les articles soumis ne doivent pas être utilisées avant leur éventuelle publication, dans les travaux de recherche d’un membre du comité de rédaction ou d’un évaluateur, sans le consentement écrit et explicite de l’auteur.       </w:t>
      </w:r>
    </w:p>
    <w:p w:rsidR="003E4CBB" w:rsidRPr="004C0BED" w:rsidRDefault="003E4CBB" w:rsidP="003E4CBB">
      <w:pPr>
        <w:pStyle w:val="ListParagraph"/>
        <w:bidi w:val="0"/>
        <w:spacing w:before="100" w:beforeAutospacing="1" w:after="120"/>
        <w:jc w:val="both"/>
        <w:outlineLvl w:val="2"/>
        <w:rPr>
          <w:rFonts w:ascii="Times New Roman" w:hAnsi="Times New Roman"/>
          <w:lang w:val="fr-FR" w:bidi="ar-SA"/>
        </w:rPr>
      </w:pPr>
      <w:r w:rsidRPr="004C0BED">
        <w:rPr>
          <w:rFonts w:ascii="Times New Roman" w:hAnsi="Times New Roman"/>
          <w:lang w:val="fr-FR"/>
        </w:rPr>
        <w:lastRenderedPageBreak/>
        <w:t xml:space="preserve">Les éditeurs qui prennent la décision finale concernant les manuscrits doivent se retirer des décisions éditoriales s'ils ont des conflits d'intérêts ou des relations qui posent des problèmes potentiels concernant les articles sous-évaluation. La responsabilité de la décision finale concernant la publication sera attribuée à un éditeur sans conflit d'intérêts.    </w:t>
      </w:r>
    </w:p>
    <w:p w:rsidR="003E4CBB" w:rsidRPr="00ED1603" w:rsidRDefault="003E4CBB" w:rsidP="003E4CBB">
      <w:pPr>
        <w:pStyle w:val="NormalWeb"/>
        <w:spacing w:before="0" w:beforeAutospacing="0" w:after="0" w:afterAutospacing="0"/>
        <w:jc w:val="both"/>
        <w:rPr>
          <w:color w:val="0E101A"/>
        </w:rPr>
      </w:pPr>
    </w:p>
    <w:p w:rsidR="003E4CBB" w:rsidRPr="004475E2" w:rsidRDefault="003E4CBB" w:rsidP="003E4CBB">
      <w:pPr>
        <w:pStyle w:val="NormalWeb"/>
        <w:spacing w:before="0" w:beforeAutospacing="0" w:after="0" w:afterAutospacing="0"/>
        <w:jc w:val="both"/>
        <w:rPr>
          <w:color w:val="0E101A"/>
          <w:lang w:val="en-US"/>
        </w:rPr>
      </w:pPr>
      <w:r>
        <w:rPr>
          <w:rStyle w:val="Strong"/>
          <w:rFonts w:eastAsia="Calibri"/>
          <w:color w:val="0E101A"/>
          <w:lang w:val="en-US"/>
        </w:rPr>
        <w:t xml:space="preserve">3. Obligations des évaluateurs  </w:t>
      </w:r>
    </w:p>
    <w:p w:rsidR="003E4CBB" w:rsidRPr="004475E2" w:rsidRDefault="003E4CBB" w:rsidP="003E4CBB">
      <w:pPr>
        <w:pStyle w:val="NormalWeb"/>
        <w:spacing w:before="0" w:beforeAutospacing="0" w:after="0" w:afterAutospacing="0"/>
        <w:jc w:val="both"/>
        <w:rPr>
          <w:color w:val="0E101A"/>
          <w:lang w:val="en-US"/>
        </w:rPr>
      </w:pPr>
      <w:r w:rsidRPr="004475E2">
        <w:rPr>
          <w:rStyle w:val="Strong"/>
          <w:rFonts w:eastAsia="Calibri"/>
          <w:color w:val="0E101A"/>
          <w:lang w:val="en-US"/>
        </w:rPr>
        <w:t> </w:t>
      </w:r>
    </w:p>
    <w:tbl>
      <w:tblPr>
        <w:tblStyle w:val="TableGrid"/>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9062"/>
      </w:tblGrid>
      <w:tr w:rsidR="003E4CBB" w:rsidRPr="006424BA" w:rsidTr="006C42CF">
        <w:tc>
          <w:tcPr>
            <w:tcW w:w="9062" w:type="dxa"/>
          </w:tcPr>
          <w:p w:rsidR="003E4CBB" w:rsidRPr="00AB3618" w:rsidRDefault="003E4CBB" w:rsidP="003E4CBB">
            <w:pPr>
              <w:bidi w:val="0"/>
              <w:spacing w:before="120" w:after="200"/>
              <w:contextualSpacing/>
              <w:jc w:val="both"/>
              <w:rPr>
                <w:rFonts w:ascii="Times New Roman" w:eastAsia="SimSun" w:hAnsi="Times New Roman"/>
                <w:b/>
                <w:bCs/>
                <w:noProof/>
                <w:color w:val="006666"/>
                <w:kern w:val="52"/>
                <w:lang w:val="fr-FR" w:eastAsia="ar-SA"/>
              </w:rPr>
            </w:pPr>
            <w:r w:rsidRPr="00ED1603">
              <w:rPr>
                <w:rFonts w:ascii="Times New Roman" w:eastAsia="SimSun" w:hAnsi="Times New Roman"/>
                <w:b/>
                <w:bCs/>
                <w:noProof/>
                <w:color w:val="006666"/>
                <w:kern w:val="52"/>
                <w:lang w:val="fr-FR" w:eastAsia="ar-SA"/>
              </w:rPr>
              <w:t xml:space="preserve">Tous les articles de recherche publiés dans la revue </w:t>
            </w:r>
            <w:r>
              <w:rPr>
                <w:rFonts w:ascii="Times New Roman" w:eastAsia="SimSun" w:hAnsi="Times New Roman"/>
                <w:b/>
                <w:bCs/>
                <w:noProof/>
                <w:color w:val="006666"/>
                <w:kern w:val="52"/>
                <w:lang w:val="fr-FR" w:eastAsia="ar-SA"/>
              </w:rPr>
              <w:t xml:space="preserve">TRANSLANG </w:t>
            </w:r>
            <w:r w:rsidRPr="00ED1603">
              <w:rPr>
                <w:rFonts w:ascii="Times New Roman" w:eastAsia="SimSun" w:hAnsi="Times New Roman"/>
                <w:b/>
                <w:bCs/>
                <w:noProof/>
                <w:color w:val="006666"/>
                <w:kern w:val="52"/>
                <w:lang w:val="fr-FR" w:eastAsia="ar-SA"/>
              </w:rPr>
              <w:t xml:space="preserve">sont soumis à un processus rigoureux d'évaluation par les pairs en double aveugle. Ce processus repose sur la sélection initiale de l'équipe de rédaction, l'arbitrage anonyme d'examinateurs externes spécialisés dans leur domaine </w:t>
            </w:r>
            <w:r>
              <w:rPr>
                <w:rFonts w:ascii="Times New Roman" w:eastAsia="SimSun" w:hAnsi="Times New Roman"/>
                <w:b/>
                <w:bCs/>
                <w:noProof/>
                <w:color w:val="006666"/>
                <w:kern w:val="52"/>
                <w:lang w:val="fr-FR" w:eastAsia="ar-SA"/>
              </w:rPr>
              <w:t>ainsi que</w:t>
            </w:r>
            <w:r w:rsidRPr="00ED1603">
              <w:rPr>
                <w:rFonts w:ascii="Times New Roman" w:eastAsia="SimSun" w:hAnsi="Times New Roman"/>
                <w:b/>
                <w:bCs/>
                <w:noProof/>
                <w:color w:val="006666"/>
                <w:kern w:val="52"/>
                <w:lang w:val="fr-FR" w:eastAsia="ar-SA"/>
              </w:rPr>
              <w:t xml:space="preserve"> les révisions ultérieures du ou des auteurs de l'article si nécessaire</w:t>
            </w:r>
            <w:r w:rsidRPr="00ED1603">
              <w:rPr>
                <w:rFonts w:ascii="Times New Roman" w:eastAsia="SimSun" w:hAnsi="Times New Roman"/>
                <w:b/>
                <w:bCs/>
                <w:noProof/>
                <w:color w:val="006666"/>
                <w:kern w:val="52"/>
                <w:rtl/>
                <w:lang w:eastAsia="ar-SA"/>
              </w:rPr>
              <w:t>.</w:t>
            </w:r>
            <w:r w:rsidRPr="00AB3618">
              <w:rPr>
                <w:rFonts w:ascii="Times New Roman" w:eastAsia="SimSun" w:hAnsi="Times New Roman"/>
                <w:b/>
                <w:bCs/>
                <w:noProof/>
                <w:color w:val="006666"/>
                <w:kern w:val="52"/>
                <w:lang w:val="fr-FR" w:eastAsia="ar-SA"/>
              </w:rPr>
              <w:t xml:space="preserve"> </w:t>
            </w:r>
            <w:r>
              <w:rPr>
                <w:rFonts w:ascii="Times New Roman" w:eastAsia="SimSun" w:hAnsi="Times New Roman"/>
                <w:b/>
                <w:bCs/>
                <w:noProof/>
                <w:color w:val="006666"/>
                <w:kern w:val="52"/>
                <w:lang w:val="fr-FR" w:eastAsia="ar-SA"/>
              </w:rPr>
              <w:t xml:space="preserve">  </w:t>
            </w:r>
          </w:p>
          <w:p w:rsidR="003E4CBB" w:rsidRPr="00DE1AE2" w:rsidRDefault="003E4CBB" w:rsidP="003E4CBB">
            <w:pPr>
              <w:bidi w:val="0"/>
              <w:spacing w:before="120" w:after="200"/>
              <w:contextualSpacing/>
              <w:jc w:val="both"/>
              <w:rPr>
                <w:rFonts w:ascii="Times New Roman" w:eastAsia="SimSun" w:hAnsi="Times New Roman"/>
                <w:b/>
                <w:bCs/>
                <w:noProof/>
                <w:color w:val="006666"/>
                <w:kern w:val="52"/>
                <w:lang w:val="fr-FR" w:eastAsia="ar-SA"/>
              </w:rPr>
            </w:pPr>
            <w:r>
              <w:rPr>
                <w:rFonts w:ascii="Times New Roman" w:eastAsia="SimSun" w:hAnsi="Times New Roman"/>
                <w:b/>
                <w:bCs/>
                <w:noProof/>
                <w:color w:val="006666"/>
                <w:kern w:val="52"/>
                <w:lang w:val="fr-FR" w:eastAsia="ar-SA"/>
              </w:rPr>
              <w:t xml:space="preserve">Le comité </w:t>
            </w:r>
            <w:r w:rsidRPr="00ED1603">
              <w:rPr>
                <w:rFonts w:ascii="Times New Roman" w:eastAsia="SimSun" w:hAnsi="Times New Roman"/>
                <w:b/>
                <w:bCs/>
                <w:noProof/>
                <w:color w:val="006666"/>
                <w:kern w:val="52"/>
                <w:lang w:val="fr-FR" w:eastAsia="ar-SA"/>
              </w:rPr>
              <w:t xml:space="preserve">de rédaction attribuera l'article à un minimum de deux spécialistes qui examineront l'article et fourniront des recommandations pour l'améliorer, ainsi que leur </w:t>
            </w:r>
            <w:r>
              <w:rPr>
                <w:rFonts w:ascii="Times New Roman" w:eastAsia="SimSun" w:hAnsi="Times New Roman"/>
                <w:b/>
                <w:bCs/>
                <w:noProof/>
                <w:color w:val="006666"/>
                <w:kern w:val="52"/>
                <w:lang w:val="fr-FR" w:eastAsia="ar-SA"/>
              </w:rPr>
              <w:t>décision</w:t>
            </w:r>
            <w:r w:rsidRPr="00ED1603">
              <w:rPr>
                <w:rFonts w:ascii="Times New Roman" w:eastAsia="SimSun" w:hAnsi="Times New Roman"/>
                <w:b/>
                <w:bCs/>
                <w:noProof/>
                <w:color w:val="006666"/>
                <w:kern w:val="52"/>
                <w:lang w:val="fr-FR" w:eastAsia="ar-SA"/>
              </w:rPr>
              <w:t xml:space="preserve"> sur</w:t>
            </w:r>
            <w:r>
              <w:rPr>
                <w:rFonts w:ascii="Times New Roman" w:eastAsia="SimSun" w:hAnsi="Times New Roman"/>
                <w:b/>
                <w:bCs/>
                <w:noProof/>
                <w:color w:val="006666"/>
                <w:kern w:val="52"/>
                <w:lang w:val="fr-FR" w:eastAsia="ar-SA"/>
              </w:rPr>
              <w:t xml:space="preserve"> l'acceptation ou le rejet d’un </w:t>
            </w:r>
            <w:r w:rsidRPr="00ED1603">
              <w:rPr>
                <w:rFonts w:ascii="Times New Roman" w:eastAsia="SimSun" w:hAnsi="Times New Roman"/>
                <w:b/>
                <w:bCs/>
                <w:noProof/>
                <w:color w:val="006666"/>
                <w:kern w:val="52"/>
                <w:lang w:val="fr-FR" w:eastAsia="ar-SA"/>
              </w:rPr>
              <w:t>article. Une publication définitive nécessitera une évaluation positive des deux</w:t>
            </w:r>
            <w:r>
              <w:rPr>
                <w:rFonts w:ascii="Times New Roman" w:eastAsia="SimSun" w:hAnsi="Times New Roman"/>
                <w:b/>
                <w:bCs/>
                <w:noProof/>
                <w:color w:val="006666"/>
                <w:kern w:val="52"/>
                <w:lang w:val="fr-FR" w:eastAsia="ar-SA"/>
              </w:rPr>
              <w:t xml:space="preserve"> réviseurs</w:t>
            </w:r>
            <w:r w:rsidRPr="00ED1603">
              <w:rPr>
                <w:rFonts w:ascii="Times New Roman" w:eastAsia="SimSun" w:hAnsi="Times New Roman"/>
                <w:b/>
                <w:bCs/>
                <w:noProof/>
                <w:color w:val="006666"/>
                <w:kern w:val="52"/>
                <w:lang w:val="fr-FR" w:eastAsia="ar-SA"/>
              </w:rPr>
              <w:t xml:space="preserve">. Si tel n'est pas le cas, l'article sera soumis à une troisième évaluation. Le résultat </w:t>
            </w:r>
            <w:r>
              <w:rPr>
                <w:rFonts w:ascii="Times New Roman" w:eastAsia="SimSun" w:hAnsi="Times New Roman"/>
                <w:b/>
                <w:bCs/>
                <w:noProof/>
                <w:color w:val="006666"/>
                <w:kern w:val="52"/>
                <w:lang w:val="fr-FR" w:eastAsia="ar-SA"/>
              </w:rPr>
              <w:t>conduira soit à l'acceptation de l’article</w:t>
            </w:r>
            <w:r w:rsidRPr="00ED1603">
              <w:rPr>
                <w:rFonts w:ascii="Times New Roman" w:eastAsia="SimSun" w:hAnsi="Times New Roman"/>
                <w:b/>
                <w:bCs/>
                <w:noProof/>
                <w:color w:val="006666"/>
                <w:kern w:val="52"/>
                <w:lang w:val="fr-FR" w:eastAsia="ar-SA"/>
              </w:rPr>
              <w:t>, soit à la nécessité d'introduire des corrections pour réévalue</w:t>
            </w:r>
            <w:r>
              <w:rPr>
                <w:rFonts w:ascii="Times New Roman" w:eastAsia="SimSun" w:hAnsi="Times New Roman"/>
                <w:b/>
                <w:bCs/>
                <w:noProof/>
                <w:color w:val="006666"/>
                <w:kern w:val="52"/>
                <w:lang w:val="fr-FR" w:eastAsia="ar-SA"/>
              </w:rPr>
              <w:t>r l'acceptation potentielle de l’article</w:t>
            </w:r>
            <w:r w:rsidRPr="00ED1603">
              <w:rPr>
                <w:rFonts w:ascii="Times New Roman" w:eastAsia="SimSun" w:hAnsi="Times New Roman"/>
                <w:b/>
                <w:bCs/>
                <w:noProof/>
                <w:color w:val="006666"/>
                <w:kern w:val="52"/>
                <w:lang w:val="fr-FR" w:eastAsia="ar-SA"/>
              </w:rPr>
              <w:t>, soit à son rejet définitif</w:t>
            </w:r>
            <w:r w:rsidRPr="00ED1603">
              <w:rPr>
                <w:rFonts w:ascii="Times New Roman" w:eastAsia="SimSun" w:hAnsi="Times New Roman"/>
                <w:b/>
                <w:bCs/>
                <w:noProof/>
                <w:color w:val="006666"/>
                <w:kern w:val="52"/>
                <w:rtl/>
                <w:lang w:eastAsia="ar-SA"/>
              </w:rPr>
              <w:t>.</w:t>
            </w:r>
            <w:r w:rsidRPr="00DE1AE2">
              <w:rPr>
                <w:rFonts w:ascii="Times New Roman" w:eastAsia="SimSun" w:hAnsi="Times New Roman"/>
                <w:b/>
                <w:bCs/>
                <w:noProof/>
                <w:color w:val="006666"/>
                <w:kern w:val="52"/>
                <w:lang w:val="fr-FR" w:eastAsia="ar-SA"/>
              </w:rPr>
              <w:t xml:space="preserve"> </w:t>
            </w:r>
          </w:p>
          <w:p w:rsidR="003E4CBB" w:rsidRDefault="003E4CBB" w:rsidP="003E4CBB">
            <w:pPr>
              <w:bidi w:val="0"/>
              <w:spacing w:before="120" w:after="200"/>
              <w:contextualSpacing/>
              <w:jc w:val="both"/>
              <w:rPr>
                <w:rFonts w:ascii="Times New Roman" w:eastAsia="SimSun" w:hAnsi="Times New Roman"/>
                <w:b/>
                <w:bCs/>
                <w:noProof/>
                <w:color w:val="006666"/>
                <w:kern w:val="52"/>
                <w:lang w:val="fr-FR" w:eastAsia="ar-SA"/>
              </w:rPr>
            </w:pPr>
            <w:r w:rsidRPr="00ED1603">
              <w:rPr>
                <w:rFonts w:ascii="Times New Roman" w:eastAsia="SimSun" w:hAnsi="Times New Roman"/>
                <w:b/>
                <w:bCs/>
                <w:noProof/>
                <w:color w:val="006666"/>
                <w:kern w:val="52"/>
                <w:lang w:val="fr-FR" w:eastAsia="ar-SA"/>
              </w:rPr>
              <w:t>Le processus d'évaluation par les pairs en double aveugle garantit que les évaluateurs désignés ne connaissent pas l'identité de l'auteur, tout comme les auteurs ignorent l'identité d</w:t>
            </w:r>
            <w:r>
              <w:rPr>
                <w:rFonts w:ascii="Times New Roman" w:eastAsia="SimSun" w:hAnsi="Times New Roman"/>
                <w:b/>
                <w:bCs/>
                <w:noProof/>
                <w:color w:val="006666"/>
                <w:kern w:val="52"/>
                <w:lang w:val="fr-FR" w:eastAsia="ar-SA"/>
              </w:rPr>
              <w:t>e ceux qui évaluent leura manuscrits. Néanmoins, la revue TARNSLANG</w:t>
            </w:r>
            <w:r w:rsidRPr="00ED1603">
              <w:rPr>
                <w:rFonts w:ascii="Times New Roman" w:eastAsia="SimSun" w:hAnsi="Times New Roman"/>
                <w:b/>
                <w:bCs/>
                <w:noProof/>
                <w:color w:val="006666"/>
                <w:kern w:val="52"/>
                <w:lang w:val="fr-FR" w:eastAsia="ar-SA"/>
              </w:rPr>
              <w:t xml:space="preserve"> </w:t>
            </w:r>
            <w:r>
              <w:rPr>
                <w:rFonts w:ascii="Times New Roman" w:eastAsia="SimSun" w:hAnsi="Times New Roman"/>
                <w:b/>
                <w:bCs/>
                <w:noProof/>
                <w:color w:val="006666"/>
                <w:kern w:val="52"/>
                <w:lang w:val="fr-FR" w:eastAsia="ar-SA"/>
              </w:rPr>
              <w:t>est encouragée</w:t>
            </w:r>
            <w:r w:rsidRPr="00ED1603">
              <w:rPr>
                <w:rFonts w:ascii="Times New Roman" w:eastAsia="SimSun" w:hAnsi="Times New Roman"/>
                <w:b/>
                <w:bCs/>
                <w:noProof/>
                <w:color w:val="006666"/>
                <w:kern w:val="52"/>
                <w:lang w:val="fr-FR" w:eastAsia="ar-SA"/>
              </w:rPr>
              <w:t xml:space="preserve"> à publier la liste des examinateurs externes qui ont </w:t>
            </w:r>
            <w:r>
              <w:rPr>
                <w:rFonts w:ascii="Times New Roman" w:eastAsia="SimSun" w:hAnsi="Times New Roman"/>
                <w:b/>
                <w:bCs/>
                <w:noProof/>
                <w:color w:val="006666"/>
                <w:kern w:val="52"/>
                <w:lang w:val="fr-FR" w:eastAsia="ar-SA"/>
              </w:rPr>
              <w:t>particpé à l’évaluation d’articles au</w:t>
            </w:r>
            <w:r w:rsidRPr="00ED1603">
              <w:rPr>
                <w:rFonts w:ascii="Times New Roman" w:eastAsia="SimSun" w:hAnsi="Times New Roman"/>
                <w:b/>
                <w:bCs/>
                <w:noProof/>
                <w:color w:val="006666"/>
                <w:kern w:val="52"/>
                <w:lang w:val="fr-FR" w:eastAsia="ar-SA"/>
              </w:rPr>
              <w:t xml:space="preserve"> cours des deux années précédentes.</w:t>
            </w:r>
            <w:r>
              <w:rPr>
                <w:rFonts w:ascii="Times New Roman" w:eastAsia="SimSun" w:hAnsi="Times New Roman"/>
                <w:b/>
                <w:bCs/>
                <w:noProof/>
                <w:color w:val="006666"/>
                <w:kern w:val="52"/>
                <w:lang w:val="fr-FR" w:eastAsia="ar-SA"/>
              </w:rPr>
              <w:t xml:space="preserve">   </w:t>
            </w:r>
          </w:p>
          <w:p w:rsidR="003E4CBB" w:rsidRPr="00ED1603" w:rsidRDefault="003E4CBB" w:rsidP="003E4CBB">
            <w:pPr>
              <w:bidi w:val="0"/>
              <w:spacing w:before="120" w:after="200"/>
              <w:contextualSpacing/>
              <w:jc w:val="both"/>
              <w:rPr>
                <w:rFonts w:ascii="Times New Roman" w:eastAsia="SimSun" w:hAnsi="Times New Roman"/>
                <w:b/>
                <w:bCs/>
                <w:noProof/>
                <w:color w:val="006666"/>
                <w:kern w:val="52"/>
                <w:sz w:val="16"/>
                <w:szCs w:val="16"/>
                <w:lang w:val="fr-FR" w:eastAsia="ar-SA"/>
              </w:rPr>
            </w:pPr>
          </w:p>
        </w:tc>
      </w:tr>
    </w:tbl>
    <w:p w:rsidR="003E4CBB" w:rsidRPr="00ED1603" w:rsidRDefault="003E4CBB" w:rsidP="003E4CBB">
      <w:pPr>
        <w:pStyle w:val="NormalWeb"/>
        <w:spacing w:before="0" w:beforeAutospacing="0" w:after="0" w:afterAutospacing="0"/>
        <w:jc w:val="both"/>
        <w:rPr>
          <w:color w:val="0E101A"/>
        </w:rPr>
      </w:pPr>
    </w:p>
    <w:p w:rsidR="003E4CBB" w:rsidRDefault="003E4CBB" w:rsidP="003E4CBB">
      <w:pPr>
        <w:pStyle w:val="NormalWeb"/>
        <w:spacing w:before="0" w:beforeAutospacing="0" w:after="0" w:afterAutospacing="0"/>
        <w:jc w:val="both"/>
        <w:rPr>
          <w:color w:val="0E101A"/>
        </w:rPr>
      </w:pPr>
      <w:r w:rsidRPr="0018106E">
        <w:rPr>
          <w:color w:val="0E101A"/>
        </w:rPr>
        <w:t xml:space="preserve">Tous les réviseurs doivent respecter les principes </w:t>
      </w:r>
      <w:r>
        <w:rPr>
          <w:color w:val="0E101A"/>
        </w:rPr>
        <w:t>d’éthique</w:t>
      </w:r>
      <w:r w:rsidRPr="0018106E">
        <w:rPr>
          <w:color w:val="0E101A"/>
        </w:rPr>
        <w:t xml:space="preserve"> suivants : </w:t>
      </w:r>
    </w:p>
    <w:p w:rsidR="003E4CBB" w:rsidRDefault="003E4CBB" w:rsidP="003E4CBB">
      <w:pPr>
        <w:pStyle w:val="NormalWeb"/>
        <w:spacing w:before="0" w:beforeAutospacing="0" w:after="0" w:afterAutospacing="0"/>
        <w:jc w:val="both"/>
        <w:rPr>
          <w:color w:val="0E101A"/>
        </w:rPr>
      </w:pPr>
    </w:p>
    <w:p w:rsidR="003E4CBB" w:rsidRPr="00014880" w:rsidRDefault="003E4CBB" w:rsidP="003E4CBB">
      <w:pPr>
        <w:pStyle w:val="NormalWeb"/>
        <w:numPr>
          <w:ilvl w:val="0"/>
          <w:numId w:val="33"/>
        </w:numPr>
        <w:spacing w:before="0" w:beforeAutospacing="0" w:after="0" w:afterAutospacing="0"/>
        <w:jc w:val="both"/>
        <w:rPr>
          <w:color w:val="0E101A"/>
        </w:rPr>
      </w:pPr>
      <w:r w:rsidRPr="00601ACD">
        <w:rPr>
          <w:b/>
          <w:bCs/>
        </w:rPr>
        <w:t xml:space="preserve">Contribution à la décision éditoriale : </w:t>
      </w:r>
      <w:r w:rsidRPr="00812177">
        <w:t>L'évaluation par les reviewers aide l’éditeur en chef et le comité de rédaction à prendre des décisions éditoriales, et</w:t>
      </w:r>
      <w:r>
        <w:t xml:space="preserve"> </w:t>
      </w:r>
      <w:r w:rsidRPr="00812177">
        <w:t>peut également aider l'auteur à améliorer le manuscrit grâce aux communications de rédaction avec ce dernier</w:t>
      </w:r>
      <w:r>
        <w:t xml:space="preserve"> via l’éditeur en chef sur ASJP.   </w:t>
      </w:r>
    </w:p>
    <w:p w:rsidR="003E4CBB" w:rsidRPr="00601ACD" w:rsidRDefault="003E4CBB" w:rsidP="003E4CBB">
      <w:pPr>
        <w:pStyle w:val="NormalWeb"/>
        <w:spacing w:before="0" w:beforeAutospacing="0" w:after="0" w:afterAutospacing="0"/>
        <w:ind w:left="720"/>
        <w:jc w:val="both"/>
        <w:rPr>
          <w:color w:val="0E101A"/>
        </w:rPr>
      </w:pPr>
    </w:p>
    <w:p w:rsidR="003E4CBB" w:rsidRDefault="003E4CBB" w:rsidP="003E4CBB">
      <w:pPr>
        <w:pStyle w:val="NormalWeb"/>
        <w:numPr>
          <w:ilvl w:val="0"/>
          <w:numId w:val="33"/>
        </w:numPr>
        <w:spacing w:before="0" w:beforeAutospacing="0" w:after="0" w:afterAutospacing="0"/>
        <w:jc w:val="both"/>
        <w:rPr>
          <w:color w:val="0E101A"/>
        </w:rPr>
      </w:pPr>
      <w:r w:rsidRPr="00014880">
        <w:rPr>
          <w:b/>
          <w:bCs/>
          <w:color w:val="0E101A"/>
        </w:rPr>
        <w:t>Rapidité</w:t>
      </w:r>
      <w:r w:rsidRPr="00014880">
        <w:rPr>
          <w:color w:val="0E101A"/>
        </w:rPr>
        <w:t xml:space="preserve"> : Tout évaluateur qui se sait non-qualifié pour évaluer un manuscrit ou qui sait ne pas pouvoir le faire dans des délais raisonnables est tenu d’en aviser le comité de rédaction et de se récuser.     </w:t>
      </w:r>
      <w:r>
        <w:rPr>
          <w:color w:val="0E101A"/>
        </w:rPr>
        <w:t xml:space="preserve"> </w:t>
      </w:r>
    </w:p>
    <w:p w:rsidR="003E4CBB" w:rsidRPr="004C407D" w:rsidRDefault="003E4CBB" w:rsidP="003E4CBB">
      <w:pPr>
        <w:pStyle w:val="ListParagraph"/>
        <w:rPr>
          <w:color w:val="0E101A"/>
          <w:lang w:val="fr-FR"/>
        </w:rPr>
      </w:pPr>
    </w:p>
    <w:p w:rsidR="003E4CBB" w:rsidRPr="00BC6C73" w:rsidRDefault="003E4CBB" w:rsidP="003E4CBB">
      <w:pPr>
        <w:pStyle w:val="NormalWeb"/>
        <w:numPr>
          <w:ilvl w:val="0"/>
          <w:numId w:val="33"/>
        </w:numPr>
        <w:spacing w:before="0" w:beforeAutospacing="0" w:after="0" w:afterAutospacing="0"/>
        <w:jc w:val="both"/>
        <w:rPr>
          <w:color w:val="0E101A"/>
        </w:rPr>
      </w:pPr>
      <w:r w:rsidRPr="00014880">
        <w:rPr>
          <w:color w:val="0E101A"/>
        </w:rPr>
        <w:t xml:space="preserve"> </w:t>
      </w:r>
      <w:r w:rsidRPr="00B413D0">
        <w:rPr>
          <w:b/>
          <w:bCs/>
          <w:color w:val="0E101A"/>
        </w:rPr>
        <w:t xml:space="preserve">Confidentialité </w:t>
      </w:r>
      <w:r w:rsidRPr="00B413D0">
        <w:rPr>
          <w:color w:val="0E101A"/>
        </w:rPr>
        <w:t xml:space="preserve">: Les manuscrits reçus pour évaluation seront traités comme des documents confidentiels. Ils ne seront pas montrés ou discutés avec d'autres parties, sauf </w:t>
      </w:r>
      <w:r>
        <w:rPr>
          <w:color w:val="0E101A"/>
        </w:rPr>
        <w:t xml:space="preserve">après </w:t>
      </w:r>
      <w:r w:rsidRPr="00B413D0">
        <w:rPr>
          <w:color w:val="0E101A"/>
        </w:rPr>
        <w:t xml:space="preserve">autorisation de l'éditeur.  </w:t>
      </w:r>
      <w:r w:rsidRPr="00BC6C73">
        <w:rPr>
          <w:color w:val="0E101A"/>
        </w:rPr>
        <w:t xml:space="preserve">     </w:t>
      </w:r>
    </w:p>
    <w:p w:rsidR="003E4CBB" w:rsidRPr="00551C37" w:rsidRDefault="003E4CBB" w:rsidP="003E4CBB">
      <w:pPr>
        <w:numPr>
          <w:ilvl w:val="0"/>
          <w:numId w:val="33"/>
        </w:numPr>
        <w:bidi w:val="0"/>
        <w:spacing w:before="100" w:beforeAutospacing="1" w:after="120"/>
        <w:jc w:val="both"/>
        <w:outlineLvl w:val="2"/>
        <w:rPr>
          <w:rFonts w:ascii="Times New Roman" w:eastAsia="SimSun" w:hAnsi="Times New Roman"/>
          <w:bdr w:val="none" w:sz="0" w:space="0" w:color="auto" w:frame="1"/>
          <w:lang w:val="fr-FR" w:eastAsia="fr-FR"/>
        </w:rPr>
      </w:pPr>
      <w:r w:rsidRPr="008644F6">
        <w:rPr>
          <w:rFonts w:ascii="Times New Roman" w:hAnsi="Times New Roman"/>
          <w:b/>
          <w:bCs/>
          <w:lang w:val="fr-FR" w:bidi="ar-SA"/>
        </w:rPr>
        <w:t>Normes d’objectivité :</w:t>
      </w:r>
      <w:r w:rsidRPr="008644F6">
        <w:rPr>
          <w:rFonts w:ascii="Times New Roman" w:eastAsia="SimSun" w:hAnsi="Times New Roman"/>
          <w:bdr w:val="none" w:sz="0" w:space="0" w:color="auto" w:frame="1"/>
          <w:lang w:val="fr-FR" w:eastAsia="fr-FR"/>
        </w:rPr>
        <w:t xml:space="preserve"> </w:t>
      </w:r>
      <w:r w:rsidRPr="008644F6">
        <w:rPr>
          <w:rFonts w:ascii="Times New Roman" w:hAnsi="Times New Roman"/>
          <w:lang w:val="fr-FR"/>
        </w:rPr>
        <w:t xml:space="preserve">Les évaluations devraient être menées de manière objective. La critique personnelle de l'auteur est inacceptable. Les évaluateurs doivent exprimer clairement leurs points de vue avec des arguments à l'appui.   </w:t>
      </w:r>
    </w:p>
    <w:p w:rsidR="003E4CBB" w:rsidRPr="00C10F33" w:rsidRDefault="003E4CBB" w:rsidP="003E4CBB">
      <w:pPr>
        <w:numPr>
          <w:ilvl w:val="0"/>
          <w:numId w:val="33"/>
        </w:numPr>
        <w:bidi w:val="0"/>
        <w:spacing w:before="100" w:beforeAutospacing="1" w:after="120"/>
        <w:jc w:val="both"/>
        <w:outlineLvl w:val="2"/>
        <w:rPr>
          <w:rFonts w:ascii="Times New Roman" w:eastAsia="SimSun" w:hAnsi="Times New Roman"/>
          <w:bdr w:val="none" w:sz="0" w:space="0" w:color="auto" w:frame="1"/>
          <w:lang w:val="fr-FR" w:eastAsia="fr-FR"/>
        </w:rPr>
      </w:pPr>
      <w:r>
        <w:rPr>
          <w:rFonts w:ascii="Times New Roman" w:hAnsi="Times New Roman"/>
          <w:lang w:val="fr-FR"/>
        </w:rPr>
        <w:t xml:space="preserve"> </w:t>
      </w:r>
      <w:r w:rsidRPr="00551C37">
        <w:rPr>
          <w:rFonts w:ascii="Times New Roman" w:hAnsi="Times New Roman"/>
          <w:b/>
          <w:bCs/>
          <w:lang w:val="fr-FR" w:bidi="ar-SA"/>
        </w:rPr>
        <w:t>Reconnaissance des Sources :</w:t>
      </w:r>
      <w:r w:rsidRPr="00551C37">
        <w:rPr>
          <w:rFonts w:ascii="Times New Roman" w:eastAsia="SimSun" w:hAnsi="Times New Roman"/>
          <w:bdr w:val="none" w:sz="0" w:space="0" w:color="auto" w:frame="1"/>
          <w:lang w:val="fr-FR" w:eastAsia="fr-FR"/>
        </w:rPr>
        <w:t xml:space="preserve"> Les</w:t>
      </w:r>
      <w:r w:rsidRPr="00551C37">
        <w:rPr>
          <w:rFonts w:ascii="Times New Roman" w:hAnsi="Times New Roman"/>
          <w:lang w:val="fr-FR"/>
        </w:rPr>
        <w:t xml:space="preserve"> examinateurs doivent tenter à identifier les travaux publiés pertinents qui n'ont pas été cités par les auteurs. Toute déclaration indiquant qu'un résultat ou un argument a déjà été rapporté doit être accompagnée de la citation pertinente. L’examinateur devrait également attirer l'attention de l'éditeur sur toute </w:t>
      </w:r>
      <w:r w:rsidRPr="00551C37">
        <w:rPr>
          <w:rFonts w:ascii="Times New Roman" w:hAnsi="Times New Roman"/>
          <w:lang w:val="fr-FR"/>
        </w:rPr>
        <w:lastRenderedPageBreak/>
        <w:t xml:space="preserve">similitude substantielle entre le manuscrit considéré et tout autre document publié dont il a une connaissance personnelle.     </w:t>
      </w:r>
      <w:r>
        <w:rPr>
          <w:rFonts w:ascii="Times New Roman" w:hAnsi="Times New Roman"/>
          <w:lang w:val="fr-FR"/>
        </w:rPr>
        <w:t xml:space="preserve"> </w:t>
      </w:r>
    </w:p>
    <w:p w:rsidR="003E4CBB" w:rsidRPr="00C10F33" w:rsidRDefault="003E4CBB" w:rsidP="003E4CBB">
      <w:pPr>
        <w:numPr>
          <w:ilvl w:val="0"/>
          <w:numId w:val="33"/>
        </w:numPr>
        <w:bidi w:val="0"/>
        <w:spacing w:before="100" w:beforeAutospacing="1" w:after="120"/>
        <w:jc w:val="both"/>
        <w:outlineLvl w:val="2"/>
        <w:rPr>
          <w:rFonts w:ascii="Times New Roman" w:eastAsia="SimSun" w:hAnsi="Times New Roman"/>
          <w:bdr w:val="none" w:sz="0" w:space="0" w:color="auto" w:frame="1"/>
          <w:lang w:val="fr-FR" w:eastAsia="fr-FR"/>
        </w:rPr>
      </w:pPr>
      <w:r w:rsidRPr="00C10F33">
        <w:rPr>
          <w:rFonts w:ascii="Times New Roman" w:hAnsi="Times New Roman"/>
          <w:b/>
          <w:bCs/>
          <w:lang w:val="fr-FR" w:bidi="ar-SA"/>
        </w:rPr>
        <w:t>Conflit d’intérêt :</w:t>
      </w:r>
      <w:r w:rsidRPr="00C10F33">
        <w:rPr>
          <w:rFonts w:ascii="Times New Roman" w:eastAsia="SimSun" w:hAnsi="Times New Roman"/>
          <w:bdr w:val="none" w:sz="0" w:space="0" w:color="auto" w:frame="1"/>
          <w:lang w:val="fr-FR" w:eastAsia="fr-FR"/>
        </w:rPr>
        <w:t xml:space="preserve"> </w:t>
      </w:r>
      <w:r w:rsidRPr="00C10F33">
        <w:rPr>
          <w:rFonts w:ascii="Times New Roman" w:hAnsi="Times New Roman"/>
          <w:lang w:val="fr-FR"/>
        </w:rPr>
        <w:t xml:space="preserve">Les informations privilégiées ou les idées obtenues par les évaluateurs doivent rester confidentielles, et ne peuvent pas être utilisées à des fins personnelles. Les examinateurs doivent </w:t>
      </w:r>
      <w:r w:rsidRPr="00C10F33">
        <w:rPr>
          <w:rFonts w:ascii="Times New Roman" w:eastAsiaTheme="minorHAnsi" w:hAnsi="Times New Roman"/>
          <w:lang w:val="fr-FR" w:bidi="ar-SA"/>
        </w:rPr>
        <w:t>se récuser en cas de</w:t>
      </w:r>
      <w:r w:rsidRPr="00C10F33">
        <w:rPr>
          <w:rFonts w:ascii="Times New Roman" w:eastAsia="SimSun" w:hAnsi="Times New Roman"/>
          <w:bdr w:val="none" w:sz="0" w:space="0" w:color="auto" w:frame="1"/>
          <w:lang w:val="fr-FR" w:eastAsia="fr-FR"/>
        </w:rPr>
        <w:t xml:space="preserve"> </w:t>
      </w:r>
      <w:r w:rsidRPr="00C10F33">
        <w:rPr>
          <w:rFonts w:ascii="Times New Roman" w:eastAsiaTheme="minorHAnsi" w:hAnsi="Times New Roman"/>
          <w:lang w:val="fr-FR" w:bidi="ar-SA"/>
        </w:rPr>
        <w:t xml:space="preserve">conflit d’intérêt avec l’un des auteurs ou avec le contenu du manuscrit à évaluer </w:t>
      </w:r>
      <w:r w:rsidRPr="00C10F33">
        <w:rPr>
          <w:rFonts w:ascii="Times New Roman" w:hAnsi="Times New Roman"/>
          <w:lang w:val="fr-FR"/>
        </w:rPr>
        <w:t xml:space="preserve">résultant de relations compétitives, collaboratives ou autres ou de liens avec l'un des auteurs, des entreprises ou des institutions liées aux articles.     </w:t>
      </w:r>
      <w:r>
        <w:rPr>
          <w:rFonts w:ascii="Times New Roman" w:hAnsi="Times New Roman"/>
          <w:lang w:val="fr-FR"/>
        </w:rPr>
        <w:t xml:space="preserve"> </w:t>
      </w:r>
    </w:p>
    <w:p w:rsidR="003E4CBB" w:rsidRPr="0018106E" w:rsidRDefault="003E4CBB" w:rsidP="003E4CBB">
      <w:pPr>
        <w:pStyle w:val="NormalWeb"/>
        <w:spacing w:before="0" w:beforeAutospacing="0" w:after="0" w:afterAutospacing="0"/>
        <w:jc w:val="both"/>
        <w:rPr>
          <w:color w:val="0E101A"/>
        </w:rPr>
      </w:pPr>
      <w:r w:rsidRPr="0018106E">
        <w:rPr>
          <w:color w:val="0E101A"/>
        </w:rPr>
        <w:t xml:space="preserve">Tous les évaluateurs doivent connaître et </w:t>
      </w:r>
      <w:r>
        <w:rPr>
          <w:color w:val="0E101A"/>
        </w:rPr>
        <w:t>pratiquer</w:t>
      </w:r>
      <w:r w:rsidRPr="0018106E">
        <w:rPr>
          <w:color w:val="0E101A"/>
        </w:rPr>
        <w:t xml:space="preserve"> la </w:t>
      </w:r>
      <w:r>
        <w:rPr>
          <w:color w:val="0E101A"/>
        </w:rPr>
        <w:t>p</w:t>
      </w:r>
      <w:r w:rsidRPr="0018106E">
        <w:rPr>
          <w:color w:val="0E101A"/>
        </w:rPr>
        <w:t xml:space="preserve">olitique éditoriale </w:t>
      </w:r>
      <w:r>
        <w:rPr>
          <w:color w:val="0E101A"/>
        </w:rPr>
        <w:t xml:space="preserve">de </w:t>
      </w:r>
      <w:r w:rsidRPr="00C57DB4">
        <w:rPr>
          <w:b/>
          <w:bCs/>
          <w:color w:val="0E101A"/>
        </w:rPr>
        <w:t>TRANSLANG</w:t>
      </w:r>
      <w:r>
        <w:rPr>
          <w:color w:val="0E101A"/>
        </w:rPr>
        <w:t xml:space="preserve"> </w:t>
      </w:r>
      <w:r w:rsidRPr="0018106E">
        <w:rPr>
          <w:color w:val="0E101A"/>
        </w:rPr>
        <w:t xml:space="preserve">et </w:t>
      </w:r>
      <w:r>
        <w:rPr>
          <w:color w:val="0E101A"/>
        </w:rPr>
        <w:t xml:space="preserve">d’adhérer aux principes de </w:t>
      </w:r>
      <w:r w:rsidRPr="0018106E">
        <w:rPr>
          <w:color w:val="0E101A"/>
        </w:rPr>
        <w:t xml:space="preserve">la </w:t>
      </w:r>
      <w:r>
        <w:rPr>
          <w:color w:val="0E101A"/>
        </w:rPr>
        <w:t>charte d</w:t>
      </w:r>
      <w:r w:rsidRPr="0018106E">
        <w:rPr>
          <w:color w:val="0E101A"/>
        </w:rPr>
        <w:t>'éthique</w:t>
      </w:r>
      <w:r>
        <w:rPr>
          <w:color w:val="0E101A"/>
        </w:rPr>
        <w:t xml:space="preserve"> et de déontologie, et de mauvaise pratiques inhérents à </w:t>
      </w:r>
      <w:r w:rsidRPr="0018106E">
        <w:rPr>
          <w:color w:val="0E101A"/>
        </w:rPr>
        <w:t>la</w:t>
      </w:r>
      <w:r>
        <w:rPr>
          <w:color w:val="0E101A"/>
        </w:rPr>
        <w:t xml:space="preserve"> </w:t>
      </w:r>
      <w:r w:rsidRPr="0018106E">
        <w:rPr>
          <w:color w:val="0E101A"/>
        </w:rPr>
        <w:t xml:space="preserve">publication. </w:t>
      </w:r>
      <w:r>
        <w:rPr>
          <w:color w:val="0E101A"/>
        </w:rPr>
        <w:t xml:space="preserve">   </w:t>
      </w:r>
    </w:p>
    <w:p w:rsidR="003E4CBB" w:rsidRDefault="003E4CBB" w:rsidP="003E4CBB">
      <w:pPr>
        <w:pStyle w:val="NormalWeb"/>
        <w:spacing w:before="0" w:beforeAutospacing="0" w:after="0" w:afterAutospacing="0"/>
        <w:jc w:val="both"/>
        <w:rPr>
          <w:color w:val="0E101A"/>
        </w:rPr>
      </w:pPr>
      <w:r w:rsidRPr="0018106E">
        <w:rPr>
          <w:color w:val="0E101A"/>
        </w:rPr>
        <w:t>La revue exige que les examinateurs potentiels aient une expertise scientifique ou une expérience professionnelle significative dans un domaine pertinent</w:t>
      </w:r>
      <w:r>
        <w:rPr>
          <w:color w:val="0E101A"/>
        </w:rPr>
        <w:t xml:space="preserve"> (Traduction et langues)</w:t>
      </w:r>
      <w:r w:rsidRPr="0018106E">
        <w:rPr>
          <w:color w:val="0E101A"/>
        </w:rPr>
        <w:t xml:space="preserve">. Ils doivent avoir récemment mené des recherches et/ou travaillé et reconnu l'expertise de leurs pairs. Les évaluateurs potentiels doivent fournir des informations personnelles et professionnelles exactes qui donnent une représentation juste de leur expertise. De même, tous les évaluateurs doivent se retirer </w:t>
      </w:r>
      <w:r>
        <w:rPr>
          <w:color w:val="0E101A"/>
        </w:rPr>
        <w:t xml:space="preserve">en cas d’une incompétence notée pour </w:t>
      </w:r>
      <w:r w:rsidRPr="0018106E">
        <w:rPr>
          <w:color w:val="0E101A"/>
        </w:rPr>
        <w:t xml:space="preserve">évaluer un manuscrit, </w:t>
      </w:r>
      <w:r>
        <w:rPr>
          <w:color w:val="0E101A"/>
        </w:rPr>
        <w:t xml:space="preserve">ou de conflit d’intérêts quelconque avec les parties prenantes dans la publication.   </w:t>
      </w:r>
    </w:p>
    <w:p w:rsidR="003E4CBB" w:rsidRPr="0018106E" w:rsidRDefault="003E4CBB" w:rsidP="003E4CBB">
      <w:pPr>
        <w:pStyle w:val="NormalWeb"/>
        <w:spacing w:before="0" w:beforeAutospacing="0" w:after="0" w:afterAutospacing="0"/>
        <w:jc w:val="both"/>
        <w:rPr>
          <w:color w:val="0E101A"/>
        </w:rPr>
      </w:pPr>
    </w:p>
    <w:p w:rsidR="003E4CBB" w:rsidRPr="0018106E" w:rsidRDefault="003E4CBB" w:rsidP="003E4CBB">
      <w:pPr>
        <w:pStyle w:val="NormalWeb"/>
        <w:spacing w:before="0" w:beforeAutospacing="0" w:after="0" w:afterAutospacing="0"/>
        <w:rPr>
          <w:b/>
          <w:bCs/>
          <w:color w:val="0E101A"/>
        </w:rPr>
      </w:pPr>
      <w:r>
        <w:rPr>
          <w:b/>
          <w:bCs/>
          <w:color w:val="0E101A"/>
        </w:rPr>
        <w:t xml:space="preserve">4. </w:t>
      </w:r>
      <w:r w:rsidRPr="0018106E">
        <w:rPr>
          <w:b/>
          <w:bCs/>
          <w:color w:val="0E101A"/>
        </w:rPr>
        <w:t>Directives pour les errata, les corrections et les rétractations</w:t>
      </w:r>
      <w:r>
        <w:rPr>
          <w:b/>
          <w:bCs/>
          <w:color w:val="0E101A"/>
        </w:rPr>
        <w:t xml:space="preserve"> </w:t>
      </w:r>
    </w:p>
    <w:p w:rsidR="003E4CBB" w:rsidRPr="0018106E" w:rsidRDefault="003E4CBB" w:rsidP="003E4CBB">
      <w:pPr>
        <w:pStyle w:val="NormalWeb"/>
        <w:spacing w:before="0" w:beforeAutospacing="0" w:after="0" w:afterAutospacing="0"/>
        <w:jc w:val="both"/>
        <w:rPr>
          <w:color w:val="0E101A"/>
        </w:rPr>
      </w:pPr>
      <w:r w:rsidRPr="0018106E">
        <w:rPr>
          <w:color w:val="0E101A"/>
        </w:rPr>
        <w:t>Les articles et autres types de documents publiés dans la revue seront maintenus valides, exacts et inaltérés dans la mesure du possible. Toutefois, dans des circonstances exceptionnelles, il peut arriver qu'un article publié doive être corrigé, rétracté, voire retiré. De telles mesures seront prises après avoir été soig</w:t>
      </w:r>
      <w:r>
        <w:rPr>
          <w:color w:val="0E101A"/>
        </w:rPr>
        <w:t>neusement examinées par le comité</w:t>
      </w:r>
      <w:r w:rsidRPr="0018106E">
        <w:rPr>
          <w:color w:val="0E101A"/>
        </w:rPr>
        <w:t xml:space="preserve"> éditorial de la revue, avec le soutien du personnel de </w:t>
      </w:r>
      <w:r w:rsidRPr="009F114E">
        <w:rPr>
          <w:b/>
          <w:bCs/>
          <w:color w:val="0E101A"/>
        </w:rPr>
        <w:t>TRANSLANG</w:t>
      </w:r>
      <w:r w:rsidRPr="0018106E">
        <w:rPr>
          <w:color w:val="0E101A"/>
        </w:rPr>
        <w:t>, afin de s'assurer qu'elles sont effectuées avec les plus grandes garanties et sur la base des règles établies par le Comité d'éthique des publications (COPE).</w:t>
      </w:r>
      <w:r>
        <w:rPr>
          <w:color w:val="0E101A"/>
        </w:rPr>
        <w:t xml:space="preserve"> </w:t>
      </w:r>
    </w:p>
    <w:p w:rsidR="003E4CBB" w:rsidRPr="0018106E" w:rsidRDefault="003E4CBB" w:rsidP="003E4CBB">
      <w:pPr>
        <w:pStyle w:val="NormalWeb"/>
        <w:spacing w:before="0" w:beforeAutospacing="0" w:after="0" w:afterAutospacing="0"/>
        <w:jc w:val="both"/>
        <w:rPr>
          <w:color w:val="0E101A"/>
        </w:rPr>
      </w:pPr>
      <w:r w:rsidRPr="0018106E">
        <w:rPr>
          <w:color w:val="0E101A"/>
        </w:rPr>
        <w:t xml:space="preserve">Dans de tels cas, les normes et mécanismes de contrôle de la communication scientifique prévoient plusieurs procédures principales de rectification selon le type, la gravité et les conséquences de l'inexactitude détectée. Celles-ci peuvent prendre la forme d'un avis d'erratum, d'une correction, d'une rétractation ou, dans de rares cas, de la suppression d'un article. L'objectif de ce mécanisme est de garantir la transparence des changements et de veiller à ce que l'intégrité du </w:t>
      </w:r>
      <w:r>
        <w:rPr>
          <w:color w:val="0E101A"/>
        </w:rPr>
        <w:t>l’œuvre publiée</w:t>
      </w:r>
      <w:r w:rsidRPr="0018106E">
        <w:rPr>
          <w:color w:val="0E101A"/>
        </w:rPr>
        <w:t xml:space="preserve"> soit toujours garantie.</w:t>
      </w:r>
      <w:r>
        <w:rPr>
          <w:color w:val="0E101A"/>
        </w:rPr>
        <w:t xml:space="preserve">   </w:t>
      </w:r>
    </w:p>
    <w:p w:rsidR="003E4CBB" w:rsidRDefault="003E4CBB" w:rsidP="003E4CBB">
      <w:pPr>
        <w:pStyle w:val="NormalWeb"/>
        <w:spacing w:before="0" w:beforeAutospacing="0" w:after="0" w:afterAutospacing="0"/>
        <w:jc w:val="both"/>
        <w:rPr>
          <w:color w:val="0E101A"/>
        </w:rPr>
      </w:pPr>
    </w:p>
    <w:p w:rsidR="003E4CBB" w:rsidRPr="0018106E" w:rsidRDefault="003E4CBB" w:rsidP="003E4CBB">
      <w:pPr>
        <w:pStyle w:val="NormalWeb"/>
        <w:numPr>
          <w:ilvl w:val="0"/>
          <w:numId w:val="35"/>
        </w:numPr>
        <w:spacing w:before="0" w:beforeAutospacing="0" w:after="0" w:afterAutospacing="0"/>
        <w:jc w:val="both"/>
        <w:rPr>
          <w:b/>
          <w:bCs/>
          <w:color w:val="0E101A"/>
        </w:rPr>
      </w:pPr>
      <w:r w:rsidRPr="0018106E">
        <w:rPr>
          <w:b/>
          <w:bCs/>
          <w:color w:val="0E101A"/>
        </w:rPr>
        <w:t>Errata</w:t>
      </w:r>
    </w:p>
    <w:p w:rsidR="003E4CBB" w:rsidRPr="0018106E" w:rsidRDefault="003E4CBB" w:rsidP="003E4CBB">
      <w:pPr>
        <w:pStyle w:val="NormalWeb"/>
        <w:spacing w:before="0" w:beforeAutospacing="0" w:after="0" w:afterAutospacing="0"/>
        <w:jc w:val="both"/>
        <w:rPr>
          <w:color w:val="0E101A"/>
        </w:rPr>
      </w:pPr>
      <w:r w:rsidRPr="0018106E">
        <w:rPr>
          <w:color w:val="0E101A"/>
        </w:rPr>
        <w:t>Des errata seront publiés lorsqu'une erreur ou une omission commise pa</w:t>
      </w:r>
      <w:r>
        <w:rPr>
          <w:color w:val="0E101A"/>
        </w:rPr>
        <w:t xml:space="preserve">r la revue pourrait affecter l’œuvre publiée </w:t>
      </w:r>
      <w:r w:rsidRPr="0018106E">
        <w:rPr>
          <w:color w:val="0E101A"/>
        </w:rPr>
        <w:t>ou la réputation des auteurs et/ou de la revue, mais l'intégrité académique de l'article reste intacte. Toutes les erreurs seront accompagnées d'une notification séparée. La notification doit fournir des détails clairs sur l'erratum et les changements apportés au document. Dans de telles circonstances :</w:t>
      </w:r>
      <w:r>
        <w:rPr>
          <w:color w:val="0E101A"/>
        </w:rPr>
        <w:t xml:space="preserve">  </w:t>
      </w:r>
    </w:p>
    <w:p w:rsidR="003E4CBB" w:rsidRDefault="003E4CBB" w:rsidP="003E4CBB">
      <w:pPr>
        <w:pStyle w:val="NormalWeb"/>
        <w:numPr>
          <w:ilvl w:val="0"/>
          <w:numId w:val="36"/>
        </w:numPr>
        <w:spacing w:before="0" w:beforeAutospacing="0" w:after="0" w:afterAutospacing="0"/>
        <w:jc w:val="both"/>
        <w:rPr>
          <w:color w:val="0E101A"/>
        </w:rPr>
      </w:pPr>
      <w:r w:rsidRPr="0018106E">
        <w:rPr>
          <w:color w:val="0E101A"/>
        </w:rPr>
        <w:t>L'article sera corrigé.</w:t>
      </w:r>
    </w:p>
    <w:p w:rsidR="003E4CBB" w:rsidRDefault="003E4CBB" w:rsidP="003E4CBB">
      <w:pPr>
        <w:pStyle w:val="NormalWeb"/>
        <w:numPr>
          <w:ilvl w:val="0"/>
          <w:numId w:val="36"/>
        </w:numPr>
        <w:spacing w:before="0" w:beforeAutospacing="0" w:after="0" w:afterAutospacing="0"/>
        <w:jc w:val="both"/>
        <w:rPr>
          <w:color w:val="0E101A"/>
        </w:rPr>
      </w:pPr>
      <w:r w:rsidRPr="00A77B3A">
        <w:rPr>
          <w:color w:val="0E101A"/>
        </w:rPr>
        <w:t>Une note finale faisant référence à l'avis d'errata sera incluse dans l'article.</w:t>
      </w:r>
    </w:p>
    <w:p w:rsidR="003E4CBB" w:rsidRPr="00A77B3A" w:rsidRDefault="003E4CBB" w:rsidP="003E4CBB">
      <w:pPr>
        <w:pStyle w:val="NormalWeb"/>
        <w:numPr>
          <w:ilvl w:val="0"/>
          <w:numId w:val="36"/>
        </w:numPr>
        <w:spacing w:before="0" w:beforeAutospacing="0" w:after="0" w:afterAutospacing="0"/>
        <w:jc w:val="both"/>
        <w:rPr>
          <w:color w:val="0E101A"/>
        </w:rPr>
      </w:pPr>
      <w:r w:rsidRPr="00A77B3A">
        <w:rPr>
          <w:color w:val="0E101A"/>
        </w:rPr>
        <w:t xml:space="preserve">Les errata seront publiés séparément mais liés à la version corrigée de l'article. </w:t>
      </w:r>
      <w:r>
        <w:rPr>
          <w:color w:val="0E101A"/>
        </w:rPr>
        <w:t xml:space="preserve"> </w:t>
      </w:r>
    </w:p>
    <w:p w:rsidR="003E4CBB" w:rsidRDefault="003E4CBB" w:rsidP="003E4CBB">
      <w:pPr>
        <w:pStyle w:val="NormalWeb"/>
        <w:spacing w:before="0" w:beforeAutospacing="0" w:after="0" w:afterAutospacing="0"/>
        <w:rPr>
          <w:color w:val="0E101A"/>
        </w:rPr>
      </w:pPr>
    </w:p>
    <w:p w:rsidR="003E4CBB" w:rsidRPr="0018106E" w:rsidRDefault="003E4CBB" w:rsidP="003E4CBB">
      <w:pPr>
        <w:pStyle w:val="NormalWeb"/>
        <w:numPr>
          <w:ilvl w:val="0"/>
          <w:numId w:val="35"/>
        </w:numPr>
        <w:spacing w:before="0" w:beforeAutospacing="0" w:after="0" w:afterAutospacing="0"/>
        <w:rPr>
          <w:color w:val="0E101A"/>
        </w:rPr>
      </w:pPr>
      <w:r w:rsidRPr="0018106E">
        <w:rPr>
          <w:b/>
          <w:bCs/>
          <w:color w:val="0E101A"/>
        </w:rPr>
        <w:t>Corrections</w:t>
      </w:r>
    </w:p>
    <w:p w:rsidR="003E4CBB" w:rsidRPr="0018106E" w:rsidRDefault="003E4CBB" w:rsidP="003E4CBB">
      <w:pPr>
        <w:pStyle w:val="NormalWeb"/>
        <w:spacing w:before="0" w:beforeAutospacing="0" w:after="0" w:afterAutospacing="0"/>
        <w:jc w:val="both"/>
        <w:rPr>
          <w:color w:val="0E101A"/>
        </w:rPr>
      </w:pPr>
      <w:r w:rsidRPr="0018106E">
        <w:rPr>
          <w:color w:val="0E101A"/>
        </w:rPr>
        <w:t>Un avis de correction sera publié lorsqu'une erreur ou une omission de l'auteur doit êt</w:t>
      </w:r>
      <w:r>
        <w:rPr>
          <w:color w:val="0E101A"/>
        </w:rPr>
        <w:t xml:space="preserve">re corrigée. </w:t>
      </w:r>
      <w:r w:rsidRPr="0018106E">
        <w:rPr>
          <w:color w:val="0E101A"/>
        </w:rPr>
        <w:t xml:space="preserve">Dans le cas contraire, cela affecterait </w:t>
      </w:r>
      <w:r>
        <w:rPr>
          <w:color w:val="0E101A"/>
        </w:rPr>
        <w:t xml:space="preserve">l’œuvre publiée </w:t>
      </w:r>
      <w:r w:rsidRPr="0018106E">
        <w:rPr>
          <w:color w:val="0E101A"/>
        </w:rPr>
        <w:t>ou la réputation des auteurs et/ou de la revue. Toutefois, cela n'affectera pas l'intégrité académique de l'article.</w:t>
      </w:r>
      <w:r>
        <w:rPr>
          <w:color w:val="0E101A"/>
        </w:rPr>
        <w:t xml:space="preserve"> </w:t>
      </w:r>
    </w:p>
    <w:p w:rsidR="003E4CBB" w:rsidRPr="0018106E" w:rsidRDefault="003E4CBB" w:rsidP="003E4CBB">
      <w:pPr>
        <w:pStyle w:val="NormalWeb"/>
        <w:spacing w:before="0" w:beforeAutospacing="0" w:after="0" w:afterAutospacing="0"/>
        <w:jc w:val="both"/>
        <w:rPr>
          <w:color w:val="0E101A"/>
        </w:rPr>
      </w:pPr>
      <w:r w:rsidRPr="0018106E">
        <w:rPr>
          <w:color w:val="0E101A"/>
        </w:rPr>
        <w:lastRenderedPageBreak/>
        <w:t xml:space="preserve">Une notification séparée accompagnera toutes les erreurs. Cette notification doit fournir des détails précis sur l'erratum et les modifications apportées au document. Dans de telles circonstances : </w:t>
      </w:r>
      <w:r>
        <w:rPr>
          <w:color w:val="0E101A"/>
        </w:rPr>
        <w:t xml:space="preserve">   </w:t>
      </w:r>
    </w:p>
    <w:p w:rsidR="003E4CBB" w:rsidRPr="0018106E" w:rsidRDefault="003E4CBB" w:rsidP="003E4CBB">
      <w:pPr>
        <w:pStyle w:val="NormalWeb"/>
        <w:numPr>
          <w:ilvl w:val="0"/>
          <w:numId w:val="41"/>
        </w:numPr>
        <w:spacing w:before="0" w:beforeAutospacing="0" w:after="0" w:afterAutospacing="0"/>
        <w:rPr>
          <w:color w:val="0E101A"/>
        </w:rPr>
      </w:pPr>
      <w:r w:rsidRPr="0018106E">
        <w:rPr>
          <w:color w:val="0E101A"/>
        </w:rPr>
        <w:t>L'article sera corrigé.</w:t>
      </w:r>
    </w:p>
    <w:p w:rsidR="003E4CBB" w:rsidRDefault="003E4CBB" w:rsidP="003E4CBB">
      <w:pPr>
        <w:pStyle w:val="NormalWeb"/>
        <w:numPr>
          <w:ilvl w:val="0"/>
          <w:numId w:val="41"/>
        </w:numPr>
        <w:spacing w:before="0" w:beforeAutospacing="0" w:after="0" w:afterAutospacing="0"/>
        <w:rPr>
          <w:color w:val="0E101A"/>
        </w:rPr>
      </w:pPr>
      <w:r w:rsidRPr="0018106E">
        <w:rPr>
          <w:color w:val="0E101A"/>
        </w:rPr>
        <w:t>Une note finale faisant référence à la notification d'errata sera incluse dans l'article.</w:t>
      </w:r>
    </w:p>
    <w:p w:rsidR="003E4CBB" w:rsidRPr="00A77B3A" w:rsidRDefault="003E4CBB" w:rsidP="003E4CBB">
      <w:pPr>
        <w:pStyle w:val="NormalWeb"/>
        <w:numPr>
          <w:ilvl w:val="0"/>
          <w:numId w:val="41"/>
        </w:numPr>
        <w:spacing w:before="0" w:beforeAutospacing="0" w:after="0" w:afterAutospacing="0"/>
        <w:rPr>
          <w:color w:val="0E101A"/>
        </w:rPr>
      </w:pPr>
      <w:r w:rsidRPr="00A77B3A">
        <w:rPr>
          <w:color w:val="0E101A"/>
        </w:rPr>
        <w:t>Les errata seront publiés séparément mais liés à la version corrigée de l'article.</w:t>
      </w:r>
      <w:r>
        <w:rPr>
          <w:color w:val="0E101A"/>
        </w:rPr>
        <w:t xml:space="preserve">  </w:t>
      </w:r>
    </w:p>
    <w:p w:rsidR="003E4CBB" w:rsidRPr="0018106E" w:rsidRDefault="003E4CBB" w:rsidP="003E4CBB">
      <w:pPr>
        <w:pStyle w:val="NormalWeb"/>
        <w:spacing w:before="0" w:beforeAutospacing="0" w:after="0" w:afterAutospacing="0"/>
        <w:rPr>
          <w:color w:val="0E101A"/>
        </w:rPr>
      </w:pPr>
    </w:p>
    <w:p w:rsidR="003E4CBB" w:rsidRPr="00A77B3A" w:rsidRDefault="003E4CBB" w:rsidP="003E4CBB">
      <w:pPr>
        <w:pStyle w:val="NormalWeb"/>
        <w:numPr>
          <w:ilvl w:val="0"/>
          <w:numId w:val="42"/>
        </w:numPr>
        <w:spacing w:before="0" w:beforeAutospacing="0" w:after="0" w:afterAutospacing="0"/>
        <w:rPr>
          <w:b/>
          <w:bCs/>
          <w:color w:val="0E101A"/>
        </w:rPr>
      </w:pPr>
      <w:r w:rsidRPr="00A77B3A">
        <w:rPr>
          <w:b/>
          <w:bCs/>
          <w:color w:val="0E101A"/>
        </w:rPr>
        <w:t>Rétractations</w:t>
      </w:r>
    </w:p>
    <w:p w:rsidR="003E4CBB" w:rsidRPr="0018106E" w:rsidRDefault="003E4CBB" w:rsidP="003E4CBB">
      <w:pPr>
        <w:pStyle w:val="NormalWeb"/>
        <w:spacing w:before="0" w:beforeAutospacing="0" w:after="0" w:afterAutospacing="0"/>
        <w:jc w:val="both"/>
        <w:rPr>
          <w:color w:val="0E101A"/>
        </w:rPr>
      </w:pPr>
      <w:r w:rsidRPr="0018106E">
        <w:rPr>
          <w:color w:val="0E101A"/>
        </w:rPr>
        <w:t xml:space="preserve">Un avis de rétractation sera publié lorsqu'une erreur importante invalide les conclusions de l'article ou en cas de mauvaise conduite dans le processus de </w:t>
      </w:r>
      <w:r>
        <w:rPr>
          <w:color w:val="0E101A"/>
        </w:rPr>
        <w:t xml:space="preserve">la </w:t>
      </w:r>
      <w:r w:rsidRPr="0018106E">
        <w:rPr>
          <w:color w:val="0E101A"/>
        </w:rPr>
        <w:t xml:space="preserve">recherche et/ou de </w:t>
      </w:r>
      <w:r>
        <w:rPr>
          <w:color w:val="0E101A"/>
        </w:rPr>
        <w:t xml:space="preserve">la </w:t>
      </w:r>
      <w:r w:rsidRPr="0018106E">
        <w:rPr>
          <w:color w:val="0E101A"/>
        </w:rPr>
        <w:t>publication. Les auteurs peuvent demander une rétractation de leurs articles si l'un d</w:t>
      </w:r>
      <w:r>
        <w:rPr>
          <w:color w:val="0E101A"/>
        </w:rPr>
        <w:t>es critères suivants est rempli</w:t>
      </w:r>
      <w:r w:rsidRPr="0018106E">
        <w:rPr>
          <w:color w:val="0E101A"/>
        </w:rPr>
        <w:t xml:space="preserve"> :</w:t>
      </w:r>
      <w:r>
        <w:rPr>
          <w:color w:val="0E101A"/>
        </w:rPr>
        <w:t xml:space="preserve">  </w:t>
      </w:r>
    </w:p>
    <w:p w:rsidR="003E4CBB" w:rsidRPr="0018106E" w:rsidRDefault="003E4CBB" w:rsidP="003E4CBB">
      <w:pPr>
        <w:pStyle w:val="NormalWeb"/>
        <w:spacing w:before="0" w:beforeAutospacing="0" w:after="0" w:afterAutospacing="0"/>
        <w:rPr>
          <w:color w:val="0E101A"/>
        </w:rPr>
      </w:pPr>
      <w:r w:rsidRPr="0018106E">
        <w:rPr>
          <w:color w:val="0E101A"/>
        </w:rPr>
        <w:t xml:space="preserve"> </w:t>
      </w:r>
    </w:p>
    <w:p w:rsidR="003E4CBB" w:rsidRDefault="003E4CBB" w:rsidP="003E4CBB">
      <w:pPr>
        <w:pStyle w:val="NormalWeb"/>
        <w:numPr>
          <w:ilvl w:val="0"/>
          <w:numId w:val="38"/>
        </w:numPr>
        <w:spacing w:before="0" w:beforeAutospacing="0" w:after="0" w:afterAutospacing="0"/>
        <w:jc w:val="both"/>
        <w:rPr>
          <w:color w:val="0E101A"/>
        </w:rPr>
      </w:pPr>
      <w:r w:rsidRPr="0018106E">
        <w:rPr>
          <w:color w:val="0E101A"/>
        </w:rPr>
        <w:t xml:space="preserve">S'il existe des preuves évidentes que les résultats ne sont pas fiables, qu'ils résultent d'une mauvaise conduite (par exemple, des données fabriquées et des images manipulées) ou d'une erreur (par exemple, une erreur expérimentale ou une erreur de calcul). </w:t>
      </w:r>
    </w:p>
    <w:p w:rsidR="003E4CBB" w:rsidRDefault="003E4CBB" w:rsidP="003E4CBB">
      <w:pPr>
        <w:pStyle w:val="NormalWeb"/>
        <w:numPr>
          <w:ilvl w:val="0"/>
          <w:numId w:val="38"/>
        </w:numPr>
        <w:spacing w:before="0" w:beforeAutospacing="0" w:after="0" w:afterAutospacing="0"/>
        <w:rPr>
          <w:color w:val="0E101A"/>
        </w:rPr>
      </w:pPr>
      <w:r w:rsidRPr="00A77B3A">
        <w:rPr>
          <w:color w:val="0E101A"/>
        </w:rPr>
        <w:t>Si les résultats ont été publiés ailleurs sans référence croisée, licence ou justification adéquate (par exemple, en cas de publication redondante ou dupliquée).</w:t>
      </w:r>
    </w:p>
    <w:p w:rsidR="003E4CBB" w:rsidRDefault="003E4CBB" w:rsidP="003E4CBB">
      <w:pPr>
        <w:pStyle w:val="NormalWeb"/>
        <w:numPr>
          <w:ilvl w:val="0"/>
          <w:numId w:val="38"/>
        </w:numPr>
        <w:spacing w:before="0" w:beforeAutospacing="0" w:after="0" w:afterAutospacing="0"/>
        <w:rPr>
          <w:color w:val="0E101A"/>
        </w:rPr>
      </w:pPr>
      <w:r w:rsidRPr="00A77B3A">
        <w:rPr>
          <w:color w:val="0E101A"/>
        </w:rPr>
        <w:t>Si la recherche constitue un plagiat.</w:t>
      </w:r>
    </w:p>
    <w:p w:rsidR="003E4CBB" w:rsidRDefault="003E4CBB" w:rsidP="003E4CBB">
      <w:pPr>
        <w:pStyle w:val="NormalWeb"/>
        <w:numPr>
          <w:ilvl w:val="0"/>
          <w:numId w:val="38"/>
        </w:numPr>
        <w:spacing w:before="0" w:beforeAutospacing="0" w:after="0" w:afterAutospacing="0"/>
        <w:rPr>
          <w:color w:val="0E101A"/>
        </w:rPr>
      </w:pPr>
      <w:r w:rsidRPr="00A77B3A">
        <w:rPr>
          <w:color w:val="0E101A"/>
        </w:rPr>
        <w:t>S'il existe des preuves d'auteurs frauduleux.</w:t>
      </w:r>
    </w:p>
    <w:p w:rsidR="003E4CBB" w:rsidRDefault="003E4CBB" w:rsidP="003E4CBB">
      <w:pPr>
        <w:pStyle w:val="NormalWeb"/>
        <w:numPr>
          <w:ilvl w:val="0"/>
          <w:numId w:val="38"/>
        </w:numPr>
        <w:spacing w:before="0" w:beforeAutospacing="0" w:after="0" w:afterAutospacing="0"/>
        <w:rPr>
          <w:color w:val="0E101A"/>
        </w:rPr>
      </w:pPr>
      <w:r w:rsidRPr="00A77B3A">
        <w:rPr>
          <w:color w:val="0E101A"/>
        </w:rPr>
        <w:t>S'il est prouvé que le processus d'examen par les pairs a été compromis.</w:t>
      </w:r>
    </w:p>
    <w:p w:rsidR="003E4CBB" w:rsidRPr="00A77B3A" w:rsidRDefault="003E4CBB" w:rsidP="003E4CBB">
      <w:pPr>
        <w:pStyle w:val="NormalWeb"/>
        <w:numPr>
          <w:ilvl w:val="0"/>
          <w:numId w:val="38"/>
        </w:numPr>
        <w:spacing w:before="0" w:beforeAutospacing="0" w:after="0" w:afterAutospacing="0"/>
        <w:rPr>
          <w:color w:val="0E101A"/>
        </w:rPr>
      </w:pPr>
      <w:r w:rsidRPr="00A77B3A">
        <w:rPr>
          <w:color w:val="0E101A"/>
        </w:rPr>
        <w:t xml:space="preserve">S'il existe des preuves de recherche contraire à l'éthique et de violation des codes </w:t>
      </w:r>
      <w:r>
        <w:rPr>
          <w:color w:val="0E101A"/>
        </w:rPr>
        <w:t>d’éthique</w:t>
      </w:r>
      <w:r w:rsidRPr="00A77B3A">
        <w:rPr>
          <w:color w:val="0E101A"/>
        </w:rPr>
        <w:t xml:space="preserve"> professionnels.</w:t>
      </w:r>
      <w:r>
        <w:rPr>
          <w:color w:val="0E101A"/>
        </w:rPr>
        <w:t xml:space="preserve"> </w:t>
      </w:r>
    </w:p>
    <w:p w:rsidR="003E4CBB" w:rsidRPr="0018106E" w:rsidRDefault="003E4CBB" w:rsidP="003E4CBB">
      <w:pPr>
        <w:pStyle w:val="NormalWeb"/>
        <w:spacing w:before="0" w:beforeAutospacing="0" w:after="0" w:afterAutospacing="0"/>
        <w:rPr>
          <w:color w:val="0E101A"/>
        </w:rPr>
      </w:pPr>
    </w:p>
    <w:p w:rsidR="003E4CBB" w:rsidRPr="0018106E" w:rsidRDefault="003E4CBB" w:rsidP="003E4CBB">
      <w:pPr>
        <w:pStyle w:val="NormalWeb"/>
        <w:spacing w:before="0" w:beforeAutospacing="0" w:after="0" w:afterAutospacing="0"/>
        <w:jc w:val="both"/>
        <w:rPr>
          <w:color w:val="0E101A"/>
        </w:rPr>
      </w:pPr>
      <w:r w:rsidRPr="0018106E">
        <w:rPr>
          <w:color w:val="0E101A"/>
        </w:rPr>
        <w:t>Une fois que la décision de rétracter un article a été prise :</w:t>
      </w:r>
    </w:p>
    <w:p w:rsidR="003E4CBB" w:rsidRDefault="003E4CBB" w:rsidP="003E4CBB">
      <w:pPr>
        <w:pStyle w:val="NormalWeb"/>
        <w:numPr>
          <w:ilvl w:val="0"/>
          <w:numId w:val="39"/>
        </w:numPr>
        <w:spacing w:before="0" w:beforeAutospacing="0" w:after="0" w:afterAutospacing="0"/>
        <w:jc w:val="both"/>
        <w:rPr>
          <w:color w:val="0E101A"/>
        </w:rPr>
      </w:pPr>
      <w:r w:rsidRPr="0018106E">
        <w:rPr>
          <w:color w:val="0E101A"/>
        </w:rPr>
        <w:t>Le filigrane "Article rétracté" sera ajouté à la version publiée de l'article.</w:t>
      </w:r>
      <w:r>
        <w:rPr>
          <w:color w:val="0E101A"/>
        </w:rPr>
        <w:t xml:space="preserve"> </w:t>
      </w:r>
    </w:p>
    <w:p w:rsidR="003E4CBB" w:rsidRDefault="003E4CBB" w:rsidP="003E4CBB">
      <w:pPr>
        <w:pStyle w:val="NormalWeb"/>
        <w:numPr>
          <w:ilvl w:val="0"/>
          <w:numId w:val="39"/>
        </w:numPr>
        <w:spacing w:before="0" w:beforeAutospacing="0" w:after="0" w:afterAutospacing="0"/>
        <w:jc w:val="both"/>
        <w:rPr>
          <w:color w:val="0E101A"/>
        </w:rPr>
      </w:pPr>
      <w:r w:rsidRPr="00A77B3A">
        <w:rPr>
          <w:color w:val="0E101A"/>
        </w:rPr>
        <w:t>Le titre de l'article sera intitulé " article</w:t>
      </w:r>
      <w:r>
        <w:rPr>
          <w:color w:val="0E101A"/>
        </w:rPr>
        <w:t xml:space="preserve"> rétracté</w:t>
      </w:r>
      <w:r w:rsidRPr="00A77B3A">
        <w:rPr>
          <w:color w:val="0E101A"/>
        </w:rPr>
        <w:t xml:space="preserve"> : [Titre de l'article]".</w:t>
      </w:r>
      <w:r>
        <w:rPr>
          <w:color w:val="0E101A"/>
        </w:rPr>
        <w:t xml:space="preserve">  </w:t>
      </w:r>
    </w:p>
    <w:p w:rsidR="003E4CBB" w:rsidRDefault="003E4CBB" w:rsidP="003E4CBB">
      <w:pPr>
        <w:pStyle w:val="NormalWeb"/>
        <w:numPr>
          <w:ilvl w:val="0"/>
          <w:numId w:val="39"/>
        </w:numPr>
        <w:spacing w:before="0" w:beforeAutospacing="0" w:after="0" w:afterAutospacing="0"/>
        <w:jc w:val="both"/>
        <w:rPr>
          <w:color w:val="0E101A"/>
        </w:rPr>
      </w:pPr>
      <w:r w:rsidRPr="00A77B3A">
        <w:rPr>
          <w:color w:val="0E101A"/>
        </w:rPr>
        <w:t>Une déclaration distincte de rétractation sera publiée, intitulée "Rétraction : [Titre de l'article]", qui sera liée à l'a</w:t>
      </w:r>
      <w:r>
        <w:rPr>
          <w:color w:val="0E101A"/>
        </w:rPr>
        <w:t>rticle rétracté. L’éditeur en chef de la revue signera</w:t>
      </w:r>
      <w:r w:rsidRPr="00A77B3A">
        <w:rPr>
          <w:color w:val="0E101A"/>
        </w:rPr>
        <w:t xml:space="preserve"> cette note. </w:t>
      </w:r>
      <w:r>
        <w:rPr>
          <w:color w:val="0E101A"/>
        </w:rPr>
        <w:t xml:space="preserve">  </w:t>
      </w:r>
    </w:p>
    <w:p w:rsidR="003E4CBB" w:rsidRPr="00A77B3A" w:rsidRDefault="003E4CBB" w:rsidP="003E4CBB">
      <w:pPr>
        <w:pStyle w:val="NormalWeb"/>
        <w:spacing w:before="0" w:beforeAutospacing="0" w:after="0" w:afterAutospacing="0"/>
        <w:ind w:left="720"/>
        <w:rPr>
          <w:color w:val="0E101A"/>
        </w:rPr>
      </w:pPr>
    </w:p>
    <w:p w:rsidR="003E4CBB" w:rsidRPr="00A77B3A" w:rsidRDefault="003E4CBB" w:rsidP="003E4CBB">
      <w:pPr>
        <w:pStyle w:val="NormalWeb"/>
        <w:numPr>
          <w:ilvl w:val="0"/>
          <w:numId w:val="35"/>
        </w:numPr>
        <w:spacing w:before="0" w:beforeAutospacing="0" w:after="0" w:afterAutospacing="0"/>
        <w:rPr>
          <w:b/>
          <w:bCs/>
          <w:color w:val="0E101A"/>
        </w:rPr>
      </w:pPr>
      <w:r w:rsidRPr="00A77B3A">
        <w:rPr>
          <w:b/>
          <w:bCs/>
          <w:color w:val="0E101A"/>
        </w:rPr>
        <w:t>Suppression d'articles</w:t>
      </w:r>
    </w:p>
    <w:p w:rsidR="003E4CBB" w:rsidRPr="0018106E" w:rsidRDefault="003E4CBB" w:rsidP="003E4CBB">
      <w:pPr>
        <w:pStyle w:val="NormalWeb"/>
        <w:spacing w:before="0" w:beforeAutospacing="0" w:after="0" w:afterAutospacing="0"/>
        <w:jc w:val="both"/>
        <w:rPr>
          <w:color w:val="0E101A"/>
        </w:rPr>
      </w:pPr>
      <w:r w:rsidRPr="0018106E">
        <w:rPr>
          <w:color w:val="0E101A"/>
        </w:rPr>
        <w:t>Le retrait d'un article ne se produira que dans des circonstances exceptionnelles, lorsque les problèmes sont trop graves pour être traités par un avis de correction ou de rétractation. Cela ne se produira que dans les cas suivants</w:t>
      </w:r>
    </w:p>
    <w:p w:rsidR="003E4CBB" w:rsidRPr="0018106E" w:rsidRDefault="003E4CBB" w:rsidP="003E4CBB">
      <w:pPr>
        <w:pStyle w:val="NormalWeb"/>
        <w:spacing w:before="0" w:beforeAutospacing="0" w:after="0" w:afterAutospacing="0"/>
        <w:rPr>
          <w:color w:val="0E101A"/>
        </w:rPr>
      </w:pPr>
      <w:r w:rsidRPr="0018106E">
        <w:rPr>
          <w:color w:val="0E101A"/>
        </w:rPr>
        <w:t xml:space="preserve"> </w:t>
      </w:r>
    </w:p>
    <w:p w:rsidR="003E4CBB" w:rsidRDefault="003E4CBB" w:rsidP="003E4CBB">
      <w:pPr>
        <w:pStyle w:val="NormalWeb"/>
        <w:numPr>
          <w:ilvl w:val="0"/>
          <w:numId w:val="40"/>
        </w:numPr>
        <w:spacing w:before="0" w:beforeAutospacing="0" w:after="0" w:afterAutospacing="0"/>
        <w:rPr>
          <w:color w:val="0E101A"/>
        </w:rPr>
      </w:pPr>
      <w:r w:rsidRPr="0018106E">
        <w:rPr>
          <w:color w:val="0E101A"/>
        </w:rPr>
        <w:t>L'article est diffamatoire ou viole d'autres droits légaux.</w:t>
      </w:r>
    </w:p>
    <w:p w:rsidR="003E4CBB" w:rsidRDefault="003E4CBB" w:rsidP="003E4CBB">
      <w:pPr>
        <w:pStyle w:val="NormalWeb"/>
        <w:numPr>
          <w:ilvl w:val="0"/>
          <w:numId w:val="40"/>
        </w:numPr>
        <w:spacing w:before="0" w:beforeAutospacing="0" w:after="0" w:afterAutospacing="0"/>
        <w:rPr>
          <w:color w:val="0E101A"/>
        </w:rPr>
      </w:pPr>
      <w:r w:rsidRPr="00A77B3A">
        <w:rPr>
          <w:color w:val="0E101A"/>
        </w:rPr>
        <w:t>Lorsque l'article est soumis à une décision de justice.</w:t>
      </w:r>
    </w:p>
    <w:p w:rsidR="003E4CBB" w:rsidRPr="0018106E" w:rsidRDefault="003E4CBB" w:rsidP="003E4CBB">
      <w:pPr>
        <w:pStyle w:val="NormalWeb"/>
        <w:spacing w:before="0" w:beforeAutospacing="0" w:after="0" w:afterAutospacing="0"/>
        <w:rPr>
          <w:color w:val="0E101A"/>
        </w:rPr>
      </w:pPr>
    </w:p>
    <w:p w:rsidR="003E4CBB" w:rsidRDefault="003E4CBB" w:rsidP="003E4CBB">
      <w:pPr>
        <w:pStyle w:val="NormalWeb"/>
        <w:spacing w:before="0" w:beforeAutospacing="0" w:after="0" w:afterAutospacing="0"/>
        <w:jc w:val="both"/>
        <w:rPr>
          <w:color w:val="0E101A"/>
        </w:rPr>
      </w:pPr>
      <w:r w:rsidRPr="0018106E">
        <w:rPr>
          <w:color w:val="0E101A"/>
        </w:rPr>
        <w:t xml:space="preserve">En cas de suppression d'un article, les métadonnées (auteur et titre) seront conservées et le texte sera remplacé par un document indiquant que l'article a été supprimé à des fins juridiques.  </w:t>
      </w:r>
      <w:r>
        <w:rPr>
          <w:color w:val="0E101A"/>
        </w:rPr>
        <w:t xml:space="preserve">  </w:t>
      </w:r>
    </w:p>
    <w:p w:rsidR="003E4CBB" w:rsidRDefault="003E4CBB" w:rsidP="003E4CBB">
      <w:pPr>
        <w:pStyle w:val="NormalWeb"/>
        <w:spacing w:before="0" w:beforeAutospacing="0" w:after="0" w:afterAutospacing="0"/>
        <w:rPr>
          <w:color w:val="0E101A"/>
        </w:rPr>
      </w:pPr>
    </w:p>
    <w:p w:rsidR="003E4CBB" w:rsidRDefault="003E4CBB" w:rsidP="003E4CBB">
      <w:pPr>
        <w:pStyle w:val="NormalWeb"/>
        <w:spacing w:before="0" w:beforeAutospacing="0" w:after="0" w:afterAutospacing="0"/>
        <w:rPr>
          <w:color w:val="0E101A"/>
        </w:rPr>
      </w:pPr>
    </w:p>
    <w:p w:rsidR="003E4CBB" w:rsidRPr="0018106E" w:rsidRDefault="003E4CBB" w:rsidP="003E4CBB">
      <w:pPr>
        <w:pStyle w:val="NormalWeb"/>
        <w:spacing w:before="0" w:beforeAutospacing="0" w:after="0" w:afterAutospacing="0"/>
        <w:jc w:val="both"/>
        <w:rPr>
          <w:b/>
          <w:bCs/>
          <w:color w:val="0E101A"/>
        </w:rPr>
      </w:pPr>
      <w:r w:rsidRPr="0018106E">
        <w:rPr>
          <w:b/>
          <w:bCs/>
          <w:color w:val="0E101A"/>
        </w:rPr>
        <w:t>5. Plaintes</w:t>
      </w:r>
    </w:p>
    <w:p w:rsidR="003E4CBB" w:rsidRPr="0018106E" w:rsidRDefault="003E4CBB" w:rsidP="003E4CBB">
      <w:pPr>
        <w:pStyle w:val="NormalWeb"/>
        <w:spacing w:before="0" w:beforeAutospacing="0" w:after="0" w:afterAutospacing="0"/>
        <w:jc w:val="both"/>
        <w:rPr>
          <w:color w:val="0E101A"/>
        </w:rPr>
      </w:pPr>
      <w:r w:rsidRPr="0018106E">
        <w:rPr>
          <w:color w:val="0E101A"/>
        </w:rPr>
        <w:t>La revue entend répondre et résoudre toutes les plaintes rapidement et d</w:t>
      </w:r>
      <w:r>
        <w:rPr>
          <w:color w:val="0E101A"/>
        </w:rPr>
        <w:t>e manière constructive. Le comité</w:t>
      </w:r>
      <w:r w:rsidRPr="0018106E">
        <w:rPr>
          <w:color w:val="0E101A"/>
        </w:rPr>
        <w:t xml:space="preserve"> de rédaction et le personnel de </w:t>
      </w:r>
      <w:r w:rsidRPr="004F5F11">
        <w:rPr>
          <w:b/>
          <w:bCs/>
          <w:color w:val="0E101A"/>
        </w:rPr>
        <w:t>TRANSLANG</w:t>
      </w:r>
      <w:r w:rsidRPr="0018106E">
        <w:rPr>
          <w:color w:val="0E101A"/>
        </w:rPr>
        <w:t xml:space="preserve"> étudieront le cas particulier de la plainte selon sa nature et sa complexité. Toute décision prise tiendra compte des recommandations du </w:t>
      </w:r>
      <w:r w:rsidRPr="0013493D">
        <w:rPr>
          <w:color w:val="006666"/>
        </w:rPr>
        <w:t>Comité d'éthique des publication</w:t>
      </w:r>
      <w:r w:rsidRPr="0018106E">
        <w:rPr>
          <w:color w:val="0E101A"/>
        </w:rPr>
        <w:t xml:space="preserve"> (COPE).</w:t>
      </w:r>
      <w:r>
        <w:rPr>
          <w:color w:val="0E101A"/>
        </w:rPr>
        <w:t xml:space="preserve">   </w:t>
      </w:r>
    </w:p>
    <w:p w:rsidR="003E4CBB" w:rsidRPr="0018106E" w:rsidRDefault="003E4CBB" w:rsidP="003E4CBB">
      <w:pPr>
        <w:pStyle w:val="NormalWeb"/>
        <w:spacing w:before="0" w:beforeAutospacing="0" w:after="0" w:afterAutospacing="0"/>
        <w:jc w:val="both"/>
        <w:rPr>
          <w:color w:val="0E101A"/>
        </w:rPr>
      </w:pPr>
      <w:r w:rsidRPr="0018106E">
        <w:rPr>
          <w:color w:val="0E101A"/>
        </w:rPr>
        <w:lastRenderedPageBreak/>
        <w:t>Les suggestions ou les plaintes doivent être envoyées à l'adresse électronique de la revue. Tous les messages seront traités et résolus dans un délai maximum de trente jours ouvrables. Toutefois, en fonction du degré de comple</w:t>
      </w:r>
      <w:r>
        <w:rPr>
          <w:color w:val="0E101A"/>
        </w:rPr>
        <w:t>xité de la plainte, l’éditeur</w:t>
      </w:r>
      <w:r w:rsidRPr="0018106E">
        <w:rPr>
          <w:color w:val="0E101A"/>
        </w:rPr>
        <w:t xml:space="preserve"> en chef informera le plaignant si un délai supplémentaire est nécessaire pour conclure l'enquête.</w:t>
      </w:r>
      <w:r>
        <w:rPr>
          <w:color w:val="0E101A"/>
        </w:rPr>
        <w:t xml:space="preserve"> </w:t>
      </w:r>
    </w:p>
    <w:p w:rsidR="003E4CBB" w:rsidRPr="0018106E" w:rsidRDefault="003E4CBB" w:rsidP="003E4CBB">
      <w:pPr>
        <w:pStyle w:val="NormalWeb"/>
        <w:spacing w:before="0" w:beforeAutospacing="0" w:after="0" w:afterAutospacing="0"/>
        <w:jc w:val="both"/>
        <w:rPr>
          <w:color w:val="0E101A"/>
        </w:rPr>
      </w:pPr>
      <w:r w:rsidRPr="0018106E">
        <w:rPr>
          <w:color w:val="0E101A"/>
        </w:rPr>
        <w:t>La plainte doit être concise et spécifique et comporter suffisamment de données pour démontrer toute faute éventuelle dans l'éthique de publication de la revue. La partie plaignante doit également fournir des documents complémentaires comme preuve de la demande particulière.</w:t>
      </w:r>
    </w:p>
    <w:p w:rsidR="003E4CBB" w:rsidRPr="0018106E" w:rsidRDefault="003E4CBB" w:rsidP="003E4CBB">
      <w:pPr>
        <w:pStyle w:val="NormalWeb"/>
        <w:spacing w:before="0" w:beforeAutospacing="0" w:after="0" w:afterAutospacing="0"/>
        <w:jc w:val="both"/>
        <w:rPr>
          <w:color w:val="0E101A"/>
        </w:rPr>
      </w:pPr>
      <w:r w:rsidRPr="0018106E">
        <w:rPr>
          <w:color w:val="0E101A"/>
        </w:rPr>
        <w:t>Les plaintes qui dépassen</w:t>
      </w:r>
      <w:r>
        <w:rPr>
          <w:color w:val="0E101A"/>
        </w:rPr>
        <w:t>t les capacités des membres du comité éditorial de</w:t>
      </w:r>
      <w:r w:rsidRPr="0018106E">
        <w:rPr>
          <w:color w:val="0E101A"/>
        </w:rPr>
        <w:t xml:space="preserve"> la revue, comme les plaintes personnelles contre les auteurs, les </w:t>
      </w:r>
      <w:r>
        <w:rPr>
          <w:color w:val="0E101A"/>
        </w:rPr>
        <w:t>éditeurs en chef, les réviseurs ou les membres du comité</w:t>
      </w:r>
      <w:r w:rsidRPr="0018106E">
        <w:rPr>
          <w:color w:val="0E101A"/>
        </w:rPr>
        <w:t xml:space="preserve"> de rédaction de la revue, recevront une réponse indiquant </w:t>
      </w:r>
      <w:r>
        <w:rPr>
          <w:color w:val="0E101A"/>
        </w:rPr>
        <w:t>la raison pour laquelle</w:t>
      </w:r>
      <w:r w:rsidRPr="0018106E">
        <w:rPr>
          <w:color w:val="0E101A"/>
        </w:rPr>
        <w:t xml:space="preserve"> la plainte a été considérée comme dépassant la responsabilité de la revue. En outre, la revue s'abstiendra d'entreprendre une enquête pertinente lorsque les plaintes sont adressées de manière offensante, menaçante ou diffamatoire.</w:t>
      </w:r>
      <w:r>
        <w:rPr>
          <w:color w:val="0E101A"/>
        </w:rPr>
        <w:t xml:space="preserve">     </w:t>
      </w:r>
    </w:p>
    <w:p w:rsidR="0099379B" w:rsidRDefault="0099379B" w:rsidP="003E4CBB">
      <w:pPr>
        <w:bidi w:val="0"/>
        <w:spacing w:after="200"/>
        <w:jc w:val="both"/>
        <w:rPr>
          <w:rFonts w:ascii="Times New Roman" w:hAnsi="Times New Roman"/>
          <w:lang w:val="fr-FR"/>
        </w:rPr>
      </w:pPr>
    </w:p>
    <w:p w:rsidR="003E4CBB" w:rsidRDefault="003E4CBB" w:rsidP="003E4CBB">
      <w:pPr>
        <w:bidi w:val="0"/>
        <w:spacing w:after="200"/>
        <w:jc w:val="both"/>
        <w:rPr>
          <w:rFonts w:ascii="Times New Roman" w:eastAsiaTheme="minorHAnsi" w:hAnsi="Times New Roman"/>
          <w:lang w:val="fr-FR" w:bidi="ar-SA"/>
        </w:rPr>
      </w:pPr>
    </w:p>
    <w:p w:rsidR="00E02F5A" w:rsidRPr="003E4CBB" w:rsidRDefault="00E02F5A" w:rsidP="00E02F5A">
      <w:pPr>
        <w:bidi w:val="0"/>
        <w:spacing w:after="200"/>
        <w:jc w:val="both"/>
        <w:rPr>
          <w:rFonts w:ascii="Times New Roman" w:eastAsiaTheme="minorHAnsi" w:hAnsi="Times New Roman"/>
          <w:lang w:val="fr-FR" w:bidi="ar-SA"/>
        </w:rPr>
      </w:pPr>
    </w:p>
    <w:p w:rsidR="0099379B" w:rsidRPr="00E02F5A" w:rsidRDefault="00E02F5A" w:rsidP="003E4CBB">
      <w:pPr>
        <w:bidi w:val="0"/>
        <w:jc w:val="both"/>
        <w:rPr>
          <w:rFonts w:ascii="Times New Roman" w:eastAsiaTheme="minorHAnsi" w:hAnsi="Times New Roman"/>
          <w:b/>
          <w:bCs/>
          <w:lang w:bidi="ar-SA"/>
        </w:rPr>
      </w:pPr>
      <w:r w:rsidRPr="00E02F5A">
        <w:rPr>
          <w:rFonts w:ascii="Times New Roman" w:eastAsiaTheme="minorHAnsi" w:hAnsi="Times New Roman"/>
          <w:b/>
          <w:bCs/>
          <w:lang w:bidi="ar-SA"/>
        </w:rPr>
        <w:t>Références:</w:t>
      </w:r>
      <w:r w:rsidR="003E4CBB" w:rsidRPr="00E02F5A">
        <w:rPr>
          <w:rFonts w:ascii="Times New Roman" w:eastAsiaTheme="minorHAnsi" w:hAnsi="Times New Roman"/>
          <w:b/>
          <w:bCs/>
          <w:lang w:bidi="ar-SA"/>
        </w:rPr>
        <w:t xml:space="preserve"> </w:t>
      </w:r>
    </w:p>
    <w:p w:rsidR="0099379B" w:rsidRPr="00E3721E" w:rsidRDefault="0099379B" w:rsidP="003E4CBB">
      <w:pPr>
        <w:bidi w:val="0"/>
        <w:spacing w:after="200"/>
        <w:jc w:val="both"/>
        <w:rPr>
          <w:rFonts w:ascii="Times New Roman" w:eastAsiaTheme="minorHAnsi" w:hAnsi="Times New Roman"/>
          <w:lang w:bidi="ar-SA"/>
        </w:rPr>
      </w:pPr>
      <w:r w:rsidRPr="00E3721E">
        <w:rPr>
          <w:rFonts w:ascii="Times New Roman" w:eastAsiaTheme="minorHAnsi" w:hAnsi="Times New Roman"/>
          <w:lang w:bidi="ar-SA"/>
        </w:rPr>
        <w:t xml:space="preserve">Committee on Publication Ethics (COPE). (2011, March 7). </w:t>
      </w:r>
      <w:r w:rsidRPr="00E3721E">
        <w:rPr>
          <w:rFonts w:ascii="Times New Roman" w:eastAsiaTheme="minorHAnsi" w:hAnsi="Times New Roman"/>
          <w:i/>
          <w:iCs/>
          <w:lang w:bidi="ar-SA"/>
        </w:rPr>
        <w:t xml:space="preserve">Code of Conduct and Best-Practice Guidelines for Journal Editors. </w:t>
      </w:r>
      <w:r w:rsidRPr="00E3721E">
        <w:rPr>
          <w:rFonts w:ascii="Times New Roman" w:eastAsiaTheme="minorHAnsi" w:hAnsi="Times New Roman"/>
          <w:lang w:bidi="ar-SA"/>
        </w:rPr>
        <w:t xml:space="preserve">Retrieved from:  </w:t>
      </w:r>
    </w:p>
    <w:p w:rsidR="0099379B" w:rsidRPr="00E3721E" w:rsidRDefault="0099379B" w:rsidP="003E4CBB">
      <w:pPr>
        <w:bidi w:val="0"/>
        <w:spacing w:after="200"/>
        <w:jc w:val="both"/>
        <w:rPr>
          <w:rFonts w:ascii="Times New Roman" w:eastAsiaTheme="minorHAnsi" w:hAnsi="Times New Roman"/>
          <w:lang w:bidi="ar-SA"/>
        </w:rPr>
      </w:pPr>
      <w:r w:rsidRPr="00E3721E">
        <w:rPr>
          <w:rFonts w:ascii="Times New Roman" w:eastAsiaTheme="minorHAnsi" w:hAnsi="Times New Roman"/>
          <w:lang w:bidi="ar-SA"/>
        </w:rPr>
        <w:t>http://publicationethics.org/files/Code_of_conduct_for_journal_editors_Mar11.pdf</w:t>
      </w:r>
    </w:p>
    <w:p w:rsidR="008259AA" w:rsidRPr="0099379B" w:rsidRDefault="008259AA" w:rsidP="003E4CBB">
      <w:pPr>
        <w:bidi w:val="0"/>
        <w:jc w:val="both"/>
        <w:rPr>
          <w:rFonts w:ascii="Times New Roman" w:hAnsi="Times New Roman"/>
        </w:rPr>
      </w:pPr>
    </w:p>
    <w:sectPr w:rsidR="008259AA" w:rsidRPr="0099379B" w:rsidSect="00E353A7">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935" w:rsidRDefault="000D7935" w:rsidP="005A1CBC">
      <w:r>
        <w:separator/>
      </w:r>
    </w:p>
  </w:endnote>
  <w:endnote w:type="continuationSeparator" w:id="0">
    <w:p w:rsidR="000D7935" w:rsidRDefault="000D7935" w:rsidP="005A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miri">
    <w:altName w:val="Courier New"/>
    <w:panose1 w:val="00000500000000000000"/>
    <w:charset w:val="00"/>
    <w:family w:val="auto"/>
    <w:pitch w:val="variable"/>
    <w:sig w:usb0="A000206F" w:usb1="80002042"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4BA" w:rsidRDefault="006424BA">
    <w:pPr>
      <w:pStyle w:val="Footer"/>
    </w:pPr>
    <w:r>
      <w:rPr>
        <w:noProof/>
        <w:lang w:val="fr-FR" w:eastAsia="fr-FR" w:bidi="ar-SA"/>
      </w:rPr>
      <w:drawing>
        <wp:anchor distT="0" distB="0" distL="114300" distR="114300" simplePos="0" relativeHeight="251661312" behindDoc="0" locked="0" layoutInCell="1" allowOverlap="1">
          <wp:simplePos x="0" y="0"/>
          <wp:positionH relativeFrom="margin">
            <wp:align>center</wp:align>
          </wp:positionH>
          <wp:positionV relativeFrom="paragraph">
            <wp:posOffset>82172</wp:posOffset>
          </wp:positionV>
          <wp:extent cx="1697355" cy="203835"/>
          <wp:effectExtent l="0" t="0" r="0" b="5715"/>
          <wp:wrapNone/>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697355" cy="2038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935" w:rsidRDefault="000D7935" w:rsidP="005A1CBC">
      <w:r>
        <w:separator/>
      </w:r>
    </w:p>
  </w:footnote>
  <w:footnote w:type="continuationSeparator" w:id="0">
    <w:p w:rsidR="000D7935" w:rsidRDefault="000D7935" w:rsidP="005A1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CCE" w:rsidRDefault="001D5CCE" w:rsidP="00E353A7">
    <w:pPr>
      <w:pStyle w:val="Header"/>
      <w:bidi w:val="0"/>
    </w:pPr>
    <w:r>
      <w:rPr>
        <w:noProof/>
        <w:lang w:val="fr-FR" w:eastAsia="fr-FR" w:bidi="ar-SA"/>
      </w:rPr>
      <w:drawing>
        <wp:anchor distT="0" distB="0" distL="0" distR="0" simplePos="0" relativeHeight="251660288" behindDoc="0" locked="0" layoutInCell="1" allowOverlap="1" wp14:anchorId="6B235EF5" wp14:editId="46FED7D0">
          <wp:simplePos x="0" y="0"/>
          <wp:positionH relativeFrom="page">
            <wp:posOffset>5867400</wp:posOffset>
          </wp:positionH>
          <wp:positionV relativeFrom="paragraph">
            <wp:posOffset>179069</wp:posOffset>
          </wp:positionV>
          <wp:extent cx="790575" cy="752475"/>
          <wp:effectExtent l="0" t="0" r="9525" b="9525"/>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90575" cy="752475"/>
                  </a:xfrm>
                  <a:prstGeom prst="rect">
                    <a:avLst/>
                  </a:prstGeom>
                </pic:spPr>
              </pic:pic>
            </a:graphicData>
          </a:graphic>
          <wp14:sizeRelH relativeFrom="margin">
            <wp14:pctWidth>0</wp14:pctWidth>
          </wp14:sizeRelH>
          <wp14:sizeRelV relativeFrom="margin">
            <wp14:pctHeight>0</wp14:pctHeight>
          </wp14:sizeRelV>
        </wp:anchor>
      </w:drawing>
    </w:r>
    <w:r w:rsidR="000D7935">
      <w:rPr>
        <w:rFonts w:ascii="Times New Roman" w:hAnsi="Times New Roman"/>
        <w:b/>
        <w:kern w:val="2"/>
        <w:lang w:val="en-GB" w:eastAsia="zh-CN"/>
      </w:rPr>
      <w:pict>
        <v:rect id="_x0000_i1025" style="width:428.1pt;height:1pt;mso-position-horizontal:absolute" o:hralign="center" o:hrstd="t" o:hrnoshade="t" o:hr="t" fillcolor="#388480" stroked="f"/>
      </w:pict>
    </w:r>
  </w:p>
  <w:p w:rsidR="001D5CCE" w:rsidRDefault="001D5CCE" w:rsidP="00E353A7">
    <w:pPr>
      <w:jc w:val="right"/>
    </w:pPr>
    <w:r>
      <w:rPr>
        <w:noProof/>
        <w:sz w:val="17"/>
        <w:lang w:val="fr-FR" w:eastAsia="fr-FR" w:bidi="ar-SA"/>
      </w:rPr>
      <w:drawing>
        <wp:inline distT="0" distB="0" distL="0" distR="0" wp14:anchorId="39AA1550" wp14:editId="4D00743B">
          <wp:extent cx="666750" cy="6381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638175"/>
                  </a:xfrm>
                  <a:prstGeom prst="rect">
                    <a:avLst/>
                  </a:prstGeom>
                  <a:noFill/>
                </pic:spPr>
              </pic:pic>
            </a:graphicData>
          </a:graphic>
        </wp:inline>
      </w:drawing>
    </w:r>
    <w:r w:rsidRPr="005A1CBC">
      <w:rPr>
        <w:rFonts w:eastAsia="Calibri"/>
        <w:noProof/>
        <w:sz w:val="22"/>
        <w:szCs w:val="22"/>
        <w:lang w:val="fr-FR" w:eastAsia="fr-FR" w:bidi="ar-SA"/>
      </w:rPr>
      <mc:AlternateContent>
        <mc:Choice Requires="wps">
          <w:drawing>
            <wp:anchor distT="0" distB="0" distL="114300" distR="114300" simplePos="0" relativeHeight="251659264" behindDoc="0" locked="0" layoutInCell="1" allowOverlap="1" wp14:anchorId="2577D0EE" wp14:editId="0096F79B">
              <wp:simplePos x="0" y="0"/>
              <wp:positionH relativeFrom="page">
                <wp:posOffset>1838325</wp:posOffset>
              </wp:positionH>
              <wp:positionV relativeFrom="paragraph">
                <wp:posOffset>165735</wp:posOffset>
              </wp:positionV>
              <wp:extent cx="3781425" cy="638175"/>
              <wp:effectExtent l="0" t="0" r="0" b="0"/>
              <wp:wrapNone/>
              <wp:docPr id="214"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638175"/>
                      </a:xfrm>
                      <a:prstGeom prst="rect">
                        <a:avLst/>
                      </a:prstGeom>
                      <a:solidFill>
                        <a:sysClr val="window" lastClr="FFFFFF"/>
                      </a:solidFill>
                      <a:ln w="12700" cap="flat" cmpd="sng" algn="ctr">
                        <a:noFill/>
                        <a:prstDash val="solid"/>
                        <a:miter lim="800000"/>
                        <a:headEnd/>
                        <a:tailEnd/>
                      </a:ln>
                      <a:effectLst/>
                    </wps:spPr>
                    <wps:txbx>
                      <w:txbxContent>
                        <w:p w:rsidR="001D5CCE" w:rsidRDefault="001D5CCE" w:rsidP="006448D4">
                          <w:pPr>
                            <w:pStyle w:val="BodyText"/>
                            <w:spacing w:after="0" w:line="240" w:lineRule="auto"/>
                            <w:ind w:left="142" w:right="432"/>
                            <w:jc w:val="center"/>
                            <w:rPr>
                              <w:rFonts w:ascii="Times New Roman" w:hAnsi="Times New Roman"/>
                              <w:b/>
                              <w:sz w:val="20"/>
                              <w:szCs w:val="20"/>
                              <w:lang w:val="en-US"/>
                            </w:rPr>
                          </w:pPr>
                          <w:r w:rsidRPr="002D1153">
                            <w:rPr>
                              <w:rFonts w:ascii="Times New Roman" w:hAnsi="Times New Roman"/>
                              <w:b/>
                              <w:sz w:val="20"/>
                              <w:szCs w:val="20"/>
                              <w:lang w:val="en-US"/>
                            </w:rPr>
                            <w:t>Revue Traduction et Langues</w:t>
                          </w:r>
                        </w:p>
                        <w:p w:rsidR="001D5CCE" w:rsidRPr="002D1153" w:rsidRDefault="001D5CCE" w:rsidP="00E353A7">
                          <w:pPr>
                            <w:pStyle w:val="BodyText"/>
                            <w:spacing w:after="0" w:line="240" w:lineRule="auto"/>
                            <w:ind w:left="142" w:right="432"/>
                            <w:jc w:val="both"/>
                            <w:rPr>
                              <w:rFonts w:ascii="Times New Roman" w:hAnsi="Times New Roman"/>
                              <w:b/>
                              <w:sz w:val="20"/>
                              <w:szCs w:val="20"/>
                              <w:lang w:val="en-US"/>
                            </w:rPr>
                          </w:pPr>
                          <w:r w:rsidRPr="002D1153">
                            <w:rPr>
                              <w:rFonts w:ascii="Times New Roman" w:hAnsi="Times New Roman"/>
                              <w:b/>
                              <w:sz w:val="20"/>
                              <w:szCs w:val="20"/>
                              <w:lang w:val="en-US"/>
                            </w:rPr>
                            <w:t xml:space="preserve">Journal of Translation Languages                     </w:t>
                          </w:r>
                          <w:r>
                            <w:rPr>
                              <w:rFonts w:ascii="Times New Roman" w:eastAsia="Times New Roman" w:hAnsi="Times New Roman" w:hint="cs"/>
                              <w:b/>
                              <w:bCs/>
                              <w:kern w:val="2"/>
                              <w:rtl/>
                              <w:lang w:val="en-GB" w:eastAsia="zh-CN"/>
                            </w:rPr>
                            <w:t xml:space="preserve"> </w:t>
                          </w:r>
                          <w:r w:rsidRPr="00E40A50">
                            <w:rPr>
                              <w:rFonts w:ascii="Amiri" w:eastAsia="Times New Roman" w:hAnsi="Amiri" w:cs="Amiri"/>
                              <w:b/>
                              <w:bCs/>
                              <w:kern w:val="2"/>
                              <w:rtl/>
                              <w:lang w:val="en-GB" w:eastAsia="zh-CN"/>
                            </w:rPr>
                            <w:t>مجلة الترجمة واللغات</w:t>
                          </w:r>
                        </w:p>
                        <w:p w:rsidR="001D5CCE" w:rsidRPr="002D1153" w:rsidRDefault="001D5CCE" w:rsidP="00E353A7">
                          <w:pPr>
                            <w:pStyle w:val="BodyText"/>
                            <w:spacing w:after="0" w:line="240" w:lineRule="auto"/>
                            <w:ind w:left="142" w:right="432"/>
                            <w:jc w:val="center"/>
                            <w:rPr>
                              <w:rFonts w:ascii="Times New Roman" w:hAnsi="Times New Roman"/>
                              <w:b/>
                              <w:bCs/>
                              <w:sz w:val="20"/>
                              <w:szCs w:val="20"/>
                              <w:lang w:val="en-US"/>
                            </w:rPr>
                          </w:pPr>
                          <w:r w:rsidRPr="002D1153">
                            <w:rPr>
                              <w:rFonts w:ascii="Times New Roman" w:hAnsi="Times New Roman"/>
                              <w:b/>
                              <w:bCs/>
                              <w:sz w:val="20"/>
                              <w:szCs w:val="20"/>
                              <w:lang w:val="en-US"/>
                            </w:rPr>
                            <w:t xml:space="preserve">ISSN (Print): </w:t>
                          </w:r>
                          <w:r w:rsidRPr="00D17EAB">
                            <w:rPr>
                              <w:rFonts w:ascii="Times New Roman" w:hAnsi="Times New Roman"/>
                              <w:b/>
                              <w:bCs/>
                              <w:sz w:val="20"/>
                              <w:szCs w:val="20"/>
                            </w:rPr>
                            <w:t>1112-3974</w:t>
                          </w:r>
                          <w:r w:rsidRPr="002D1153">
                            <w:rPr>
                              <w:rFonts w:ascii="Times New Roman" w:hAnsi="Times New Roman"/>
                              <w:b/>
                              <w:bCs/>
                              <w:sz w:val="20"/>
                              <w:szCs w:val="20"/>
                              <w:lang w:val="en-US"/>
                            </w:rPr>
                            <w:t xml:space="preserve">                EISSN (Online):</w:t>
                          </w:r>
                          <w:r w:rsidRPr="00D17EAB">
                            <w:rPr>
                              <w:rFonts w:ascii="Times New Roman" w:hAnsi="Times New Roman"/>
                              <w:b/>
                              <w:bCs/>
                              <w:sz w:val="20"/>
                              <w:szCs w:val="20"/>
                            </w:rPr>
                            <w:t xml:space="preserve"> 2600-6235</w:t>
                          </w:r>
                        </w:p>
                        <w:p w:rsidR="001D5CCE" w:rsidRPr="002D1153" w:rsidRDefault="001D5CCE" w:rsidP="00E353A7">
                          <w:pPr>
                            <w:pStyle w:val="BodyText"/>
                            <w:ind w:right="432"/>
                            <w:rPr>
                              <w:rFonts w:ascii="Amiri" w:hAnsi="Amiri" w:cs="Amiri"/>
                              <w:b/>
                              <w:bCs/>
                              <w:sz w:val="20"/>
                              <w:szCs w:val="20"/>
                              <w:lang w:val="en-US"/>
                            </w:rPr>
                          </w:pPr>
                        </w:p>
                        <w:p w:rsidR="001D5CCE" w:rsidRPr="00847281" w:rsidRDefault="001D5CCE" w:rsidP="00E353A7">
                          <w:pPr>
                            <w:pStyle w:val="BodyText"/>
                            <w:ind w:right="432"/>
                            <w:rPr>
                              <w:rFonts w:ascii="Times New Roman" w:hAnsi="Times New Roman"/>
                              <w:sz w:val="20"/>
                              <w:szCs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7D0EE" id="_x0000_t202" coordsize="21600,21600" o:spt="202" path="m,l,21600r21600,l21600,xe">
              <v:stroke joinstyle="miter"/>
              <v:path gradientshapeok="t" o:connecttype="rect"/>
            </v:shapetype>
            <v:shape id="Text Box 129" o:spid="_x0000_s1026" type="#_x0000_t202" style="position:absolute;margin-left:144.75pt;margin-top:13.05pt;width:297.75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" fillcolor="window" stroked="f" strokeweight="1pt">
              <v:textbox inset="0,0,0,0">
                <w:txbxContent>
                  <w:p w:rsidR="001D5CCE" w:rsidRDefault="001D5CCE" w:rsidP="006448D4">
                    <w:pPr>
                      <w:pStyle w:val="Corpsdetexte"/>
                      <w:spacing w:after="0" w:line="240" w:lineRule="auto"/>
                      <w:ind w:left="142" w:right="432"/>
                      <w:jc w:val="center"/>
                      <w:rPr>
                        <w:rFonts w:ascii="Times New Roman" w:hAnsi="Times New Roman"/>
                        <w:b/>
                        <w:sz w:val="20"/>
                        <w:szCs w:val="20"/>
                        <w:lang w:val="en-US"/>
                      </w:rPr>
                    </w:pPr>
                    <w:r w:rsidRPr="002D1153">
                      <w:rPr>
                        <w:rFonts w:ascii="Times New Roman" w:hAnsi="Times New Roman"/>
                        <w:b/>
                        <w:sz w:val="20"/>
                        <w:szCs w:val="20"/>
                        <w:lang w:val="en-US"/>
                      </w:rPr>
                      <w:t>Revue Traduction et Langues</w:t>
                    </w:r>
                  </w:p>
                  <w:p w:rsidR="001D5CCE" w:rsidRPr="002D1153" w:rsidRDefault="001D5CCE" w:rsidP="00E353A7">
                    <w:pPr>
                      <w:pStyle w:val="Corpsdetexte"/>
                      <w:spacing w:after="0" w:line="240" w:lineRule="auto"/>
                      <w:ind w:left="142" w:right="432"/>
                      <w:jc w:val="both"/>
                      <w:rPr>
                        <w:rFonts w:ascii="Times New Roman" w:hAnsi="Times New Roman"/>
                        <w:b/>
                        <w:sz w:val="20"/>
                        <w:szCs w:val="20"/>
                        <w:lang w:val="en-US"/>
                      </w:rPr>
                    </w:pPr>
                    <w:r w:rsidRPr="002D1153">
                      <w:rPr>
                        <w:rFonts w:ascii="Times New Roman" w:hAnsi="Times New Roman"/>
                        <w:b/>
                        <w:sz w:val="20"/>
                        <w:szCs w:val="20"/>
                        <w:lang w:val="en-US"/>
                      </w:rPr>
                      <w:t xml:space="preserve">Journal of Translation Languages                     </w:t>
                    </w:r>
                    <w:r>
                      <w:rPr>
                        <w:rFonts w:ascii="Times New Roman" w:eastAsia="Times New Roman" w:hAnsi="Times New Roman" w:hint="cs"/>
                        <w:b/>
                        <w:bCs/>
                        <w:kern w:val="2"/>
                        <w:rtl/>
                        <w:lang w:val="en-GB" w:eastAsia="zh-CN"/>
                      </w:rPr>
                      <w:t xml:space="preserve"> </w:t>
                    </w:r>
                    <w:r w:rsidRPr="00E40A50">
                      <w:rPr>
                        <w:rFonts w:ascii="Amiri" w:eastAsia="Times New Roman" w:hAnsi="Amiri" w:cs="Amiri"/>
                        <w:b/>
                        <w:bCs/>
                        <w:kern w:val="2"/>
                        <w:rtl/>
                        <w:lang w:val="en-GB" w:eastAsia="zh-CN"/>
                      </w:rPr>
                      <w:t>مجلة الترجمة واللغات</w:t>
                    </w:r>
                  </w:p>
                  <w:p w:rsidR="001D5CCE" w:rsidRPr="002D1153" w:rsidRDefault="001D5CCE" w:rsidP="00E353A7">
                    <w:pPr>
                      <w:pStyle w:val="Corpsdetexte"/>
                      <w:spacing w:after="0" w:line="240" w:lineRule="auto"/>
                      <w:ind w:left="142" w:right="432"/>
                      <w:jc w:val="center"/>
                      <w:rPr>
                        <w:rFonts w:ascii="Times New Roman" w:hAnsi="Times New Roman"/>
                        <w:b/>
                        <w:bCs/>
                        <w:sz w:val="20"/>
                        <w:szCs w:val="20"/>
                        <w:lang w:val="en-US"/>
                      </w:rPr>
                    </w:pPr>
                    <w:r w:rsidRPr="002D1153">
                      <w:rPr>
                        <w:rFonts w:ascii="Times New Roman" w:hAnsi="Times New Roman"/>
                        <w:b/>
                        <w:bCs/>
                        <w:sz w:val="20"/>
                        <w:szCs w:val="20"/>
                        <w:lang w:val="en-US"/>
                      </w:rPr>
                      <w:t xml:space="preserve">ISSN (Print): </w:t>
                    </w:r>
                    <w:r w:rsidRPr="00D17EAB">
                      <w:rPr>
                        <w:rFonts w:ascii="Times New Roman" w:hAnsi="Times New Roman"/>
                        <w:b/>
                        <w:bCs/>
                        <w:sz w:val="20"/>
                        <w:szCs w:val="20"/>
                      </w:rPr>
                      <w:t>1112-3974</w:t>
                    </w:r>
                    <w:r w:rsidRPr="002D1153">
                      <w:rPr>
                        <w:rFonts w:ascii="Times New Roman" w:hAnsi="Times New Roman"/>
                        <w:b/>
                        <w:bCs/>
                        <w:sz w:val="20"/>
                        <w:szCs w:val="20"/>
                        <w:lang w:val="en-US"/>
                      </w:rPr>
                      <w:t xml:space="preserve">                EISSN (Online):</w:t>
                    </w:r>
                    <w:r w:rsidRPr="00D17EAB">
                      <w:rPr>
                        <w:rFonts w:ascii="Times New Roman" w:hAnsi="Times New Roman"/>
                        <w:b/>
                        <w:bCs/>
                        <w:sz w:val="20"/>
                        <w:szCs w:val="20"/>
                      </w:rPr>
                      <w:t xml:space="preserve"> 2600-6235</w:t>
                    </w:r>
                  </w:p>
                  <w:p w:rsidR="001D5CCE" w:rsidRPr="002D1153" w:rsidRDefault="001D5CCE" w:rsidP="00E353A7">
                    <w:pPr>
                      <w:pStyle w:val="Corpsdetexte"/>
                      <w:ind w:right="432"/>
                      <w:rPr>
                        <w:rFonts w:ascii="Amiri" w:hAnsi="Amiri" w:cs="Amiri"/>
                        <w:b/>
                        <w:bCs/>
                        <w:sz w:val="20"/>
                        <w:szCs w:val="20"/>
                        <w:lang w:val="en-US"/>
                      </w:rPr>
                    </w:pPr>
                  </w:p>
                  <w:p w:rsidR="001D5CCE" w:rsidRPr="00847281" w:rsidRDefault="001D5CCE" w:rsidP="00E353A7">
                    <w:pPr>
                      <w:pStyle w:val="Corpsdetexte"/>
                      <w:ind w:right="432"/>
                      <w:rPr>
                        <w:rFonts w:ascii="Times New Roman" w:hAnsi="Times New Roman"/>
                        <w:sz w:val="20"/>
                        <w:szCs w:val="20"/>
                        <w:lang w:val="fr-FR"/>
                      </w:rPr>
                    </w:pPr>
                  </w:p>
                </w:txbxContent>
              </v:textbox>
              <w10:wrap anchorx="page"/>
            </v:shape>
          </w:pict>
        </mc:Fallback>
      </mc:AlternateContent>
    </w:r>
  </w:p>
  <w:p w:rsidR="001D5CCE" w:rsidRDefault="001D5CCE" w:rsidP="00E353A7">
    <w:pPr>
      <w:bidi w:val="0"/>
      <w:jc w:val="both"/>
    </w:pPr>
  </w:p>
  <w:p w:rsidR="001D5CCE" w:rsidRPr="005A1CBC" w:rsidRDefault="000D7935" w:rsidP="00E353A7">
    <w:r>
      <w:rPr>
        <w:rFonts w:ascii="Times New Roman" w:hAnsi="Times New Roman"/>
        <w:b/>
        <w:kern w:val="2"/>
        <w:lang w:val="en-GB" w:eastAsia="zh-CN"/>
      </w:rPr>
      <w:pict>
        <v:rect id="_x0000_i1026" style="width:428.1pt;height:1pt;mso-position-horizontal:absolute" o:hralign="center" o:hrstd="t" o:hrnoshade="t" o:hr="t" fillcolor="#388480" stroked="f"/>
      </w:pict>
    </w:r>
  </w:p>
  <w:p w:rsidR="001D5CCE" w:rsidRDefault="001D5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2AF0"/>
    <w:multiLevelType w:val="hybridMultilevel"/>
    <w:tmpl w:val="F44830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B83776"/>
    <w:multiLevelType w:val="hybridMultilevel"/>
    <w:tmpl w:val="AEF20A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E0C6E"/>
    <w:multiLevelType w:val="multilevel"/>
    <w:tmpl w:val="1DFA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42C84"/>
    <w:multiLevelType w:val="hybridMultilevel"/>
    <w:tmpl w:val="F6604EA6"/>
    <w:lvl w:ilvl="0" w:tplc="040C0003">
      <w:start w:val="1"/>
      <w:numFmt w:val="bullet"/>
      <w:lvlText w:val="o"/>
      <w:lvlJc w:val="left"/>
      <w:pPr>
        <w:ind w:left="780" w:hanging="360"/>
      </w:pPr>
      <w:rPr>
        <w:rFonts w:ascii="Courier New" w:hAnsi="Courier New" w:cs="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15:restartNumberingAfterBreak="0">
    <w:nsid w:val="10331F48"/>
    <w:multiLevelType w:val="multilevel"/>
    <w:tmpl w:val="59E2BE6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6B51BC"/>
    <w:multiLevelType w:val="hybridMultilevel"/>
    <w:tmpl w:val="BE0209A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532F87"/>
    <w:multiLevelType w:val="multilevel"/>
    <w:tmpl w:val="F6A4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63C3E"/>
    <w:multiLevelType w:val="multilevel"/>
    <w:tmpl w:val="C62A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2303C"/>
    <w:multiLevelType w:val="hybridMultilevel"/>
    <w:tmpl w:val="3C40DC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2578D0"/>
    <w:multiLevelType w:val="multilevel"/>
    <w:tmpl w:val="22AA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A5560D"/>
    <w:multiLevelType w:val="multilevel"/>
    <w:tmpl w:val="D96E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50E9B"/>
    <w:multiLevelType w:val="multilevel"/>
    <w:tmpl w:val="F206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431D05"/>
    <w:multiLevelType w:val="multilevel"/>
    <w:tmpl w:val="DA26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B4DA3"/>
    <w:multiLevelType w:val="multilevel"/>
    <w:tmpl w:val="A9FE0C6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72499"/>
    <w:multiLevelType w:val="hybridMultilevel"/>
    <w:tmpl w:val="5330C6FE"/>
    <w:lvl w:ilvl="0" w:tplc="040C000F">
      <w:start w:val="1"/>
      <w:numFmt w:val="decimal"/>
      <w:lvlText w:val="%1."/>
      <w:lvlJc w:val="left"/>
      <w:pPr>
        <w:ind w:left="928" w:hanging="360"/>
      </w:pPr>
      <w:rPr>
        <w:rFonts w:hint="default"/>
        <w:b/>
        <w:u w:val="none"/>
      </w:rPr>
    </w:lvl>
    <w:lvl w:ilvl="1" w:tplc="040C0019" w:tentative="1">
      <w:start w:val="1"/>
      <w:numFmt w:val="lowerLetter"/>
      <w:lvlText w:val="%2."/>
      <w:lvlJc w:val="left"/>
      <w:pPr>
        <w:ind w:left="1551" w:hanging="360"/>
      </w:pPr>
      <w:rPr>
        <w:rFonts w:cs="Times New Roman"/>
      </w:rPr>
    </w:lvl>
    <w:lvl w:ilvl="2" w:tplc="040C001B" w:tentative="1">
      <w:start w:val="1"/>
      <w:numFmt w:val="lowerRoman"/>
      <w:lvlText w:val="%3."/>
      <w:lvlJc w:val="right"/>
      <w:pPr>
        <w:ind w:left="2271" w:hanging="180"/>
      </w:pPr>
      <w:rPr>
        <w:rFonts w:cs="Times New Roman"/>
      </w:rPr>
    </w:lvl>
    <w:lvl w:ilvl="3" w:tplc="040C000F" w:tentative="1">
      <w:start w:val="1"/>
      <w:numFmt w:val="decimal"/>
      <w:lvlText w:val="%4."/>
      <w:lvlJc w:val="left"/>
      <w:pPr>
        <w:ind w:left="2991" w:hanging="360"/>
      </w:pPr>
      <w:rPr>
        <w:rFonts w:cs="Times New Roman"/>
      </w:rPr>
    </w:lvl>
    <w:lvl w:ilvl="4" w:tplc="040C0019" w:tentative="1">
      <w:start w:val="1"/>
      <w:numFmt w:val="lowerLetter"/>
      <w:lvlText w:val="%5."/>
      <w:lvlJc w:val="left"/>
      <w:pPr>
        <w:ind w:left="3711" w:hanging="360"/>
      </w:pPr>
      <w:rPr>
        <w:rFonts w:cs="Times New Roman"/>
      </w:rPr>
    </w:lvl>
    <w:lvl w:ilvl="5" w:tplc="040C001B" w:tentative="1">
      <w:start w:val="1"/>
      <w:numFmt w:val="lowerRoman"/>
      <w:lvlText w:val="%6."/>
      <w:lvlJc w:val="right"/>
      <w:pPr>
        <w:ind w:left="4431" w:hanging="180"/>
      </w:pPr>
      <w:rPr>
        <w:rFonts w:cs="Times New Roman"/>
      </w:rPr>
    </w:lvl>
    <w:lvl w:ilvl="6" w:tplc="040C000F" w:tentative="1">
      <w:start w:val="1"/>
      <w:numFmt w:val="decimal"/>
      <w:lvlText w:val="%7."/>
      <w:lvlJc w:val="left"/>
      <w:pPr>
        <w:ind w:left="5151" w:hanging="360"/>
      </w:pPr>
      <w:rPr>
        <w:rFonts w:cs="Times New Roman"/>
      </w:rPr>
    </w:lvl>
    <w:lvl w:ilvl="7" w:tplc="040C0019" w:tentative="1">
      <w:start w:val="1"/>
      <w:numFmt w:val="lowerLetter"/>
      <w:lvlText w:val="%8."/>
      <w:lvlJc w:val="left"/>
      <w:pPr>
        <w:ind w:left="5871" w:hanging="360"/>
      </w:pPr>
      <w:rPr>
        <w:rFonts w:cs="Times New Roman"/>
      </w:rPr>
    </w:lvl>
    <w:lvl w:ilvl="8" w:tplc="040C001B" w:tentative="1">
      <w:start w:val="1"/>
      <w:numFmt w:val="lowerRoman"/>
      <w:lvlText w:val="%9."/>
      <w:lvlJc w:val="right"/>
      <w:pPr>
        <w:ind w:left="6591" w:hanging="180"/>
      </w:pPr>
      <w:rPr>
        <w:rFonts w:cs="Times New Roman"/>
      </w:rPr>
    </w:lvl>
  </w:abstractNum>
  <w:abstractNum w:abstractNumId="15" w15:restartNumberingAfterBreak="0">
    <w:nsid w:val="34F277DE"/>
    <w:multiLevelType w:val="multilevel"/>
    <w:tmpl w:val="5EB495FC"/>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FA047F"/>
    <w:multiLevelType w:val="multilevel"/>
    <w:tmpl w:val="B1D8294E"/>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244864"/>
    <w:multiLevelType w:val="multilevel"/>
    <w:tmpl w:val="D730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32E63"/>
    <w:multiLevelType w:val="hybridMultilevel"/>
    <w:tmpl w:val="AAA2A836"/>
    <w:lvl w:ilvl="0" w:tplc="B70A968E">
      <w:start w:val="1"/>
      <w:numFmt w:val="bullet"/>
      <w:lvlText w:val=""/>
      <w:lvlJc w:val="left"/>
      <w:pPr>
        <w:ind w:left="1146" w:hanging="360"/>
      </w:pPr>
      <w:rPr>
        <w:rFonts w:ascii="Symbol" w:hAnsi="Symbol" w:hint="default"/>
        <w:sz w:val="18"/>
        <w:szCs w:val="18"/>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41CF59A2"/>
    <w:multiLevelType w:val="multilevel"/>
    <w:tmpl w:val="EBA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942445"/>
    <w:multiLevelType w:val="hybridMultilevel"/>
    <w:tmpl w:val="3BAEDD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737876"/>
    <w:multiLevelType w:val="hybridMultilevel"/>
    <w:tmpl w:val="3CF846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65177E"/>
    <w:multiLevelType w:val="hybridMultilevel"/>
    <w:tmpl w:val="BD6C7944"/>
    <w:lvl w:ilvl="0" w:tplc="98B257C4">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1223CC"/>
    <w:multiLevelType w:val="multilevel"/>
    <w:tmpl w:val="22F6892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63AF5"/>
    <w:multiLevelType w:val="hybridMultilevel"/>
    <w:tmpl w:val="EB9442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D41797"/>
    <w:multiLevelType w:val="hybridMultilevel"/>
    <w:tmpl w:val="6E10D8A2"/>
    <w:lvl w:ilvl="0" w:tplc="040C0003">
      <w:start w:val="1"/>
      <w:numFmt w:val="bullet"/>
      <w:lvlText w:val="o"/>
      <w:lvlJc w:val="left"/>
      <w:pPr>
        <w:ind w:left="780" w:hanging="360"/>
      </w:pPr>
      <w:rPr>
        <w:rFonts w:ascii="Courier New" w:hAnsi="Courier New" w:cs="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6" w15:restartNumberingAfterBreak="0">
    <w:nsid w:val="51382197"/>
    <w:multiLevelType w:val="hybridMultilevel"/>
    <w:tmpl w:val="775A25CE"/>
    <w:lvl w:ilvl="0" w:tplc="170ECE1C">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921F05"/>
    <w:multiLevelType w:val="multilevel"/>
    <w:tmpl w:val="97C2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4732DE"/>
    <w:multiLevelType w:val="multilevel"/>
    <w:tmpl w:val="551A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CC287D"/>
    <w:multiLevelType w:val="hybridMultilevel"/>
    <w:tmpl w:val="DB98E6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E77D23"/>
    <w:multiLevelType w:val="multilevel"/>
    <w:tmpl w:val="ECD0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A31B9E"/>
    <w:multiLevelType w:val="hybridMultilevel"/>
    <w:tmpl w:val="73DC2476"/>
    <w:lvl w:ilvl="0" w:tplc="F9526B3A">
      <w:start w:val="1"/>
      <w:numFmt w:val="bullet"/>
      <w:lvlText w:val=""/>
      <w:lvlJc w:val="left"/>
      <w:pPr>
        <w:ind w:left="1440" w:hanging="360"/>
      </w:pPr>
      <w:rPr>
        <w:rFonts w:ascii="Symbol" w:hAnsi="Symbol" w:hint="default"/>
        <w:sz w:val="18"/>
        <w:szCs w:val="1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5BF803DD"/>
    <w:multiLevelType w:val="multilevel"/>
    <w:tmpl w:val="C884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4B606D"/>
    <w:multiLevelType w:val="hybridMultilevel"/>
    <w:tmpl w:val="C2F023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8351EF"/>
    <w:multiLevelType w:val="hybridMultilevel"/>
    <w:tmpl w:val="81BC850A"/>
    <w:lvl w:ilvl="0" w:tplc="B70A968E">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F51515"/>
    <w:multiLevelType w:val="multilevel"/>
    <w:tmpl w:val="F1CC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6E4DA6"/>
    <w:multiLevelType w:val="hybridMultilevel"/>
    <w:tmpl w:val="58788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186527"/>
    <w:multiLevelType w:val="multilevel"/>
    <w:tmpl w:val="A16E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15C0A"/>
    <w:multiLevelType w:val="hybridMultilevel"/>
    <w:tmpl w:val="E534787A"/>
    <w:lvl w:ilvl="0" w:tplc="57E2027A">
      <w:start w:val="1"/>
      <w:numFmt w:val="bullet"/>
      <w:lvlText w:val=""/>
      <w:lvlJc w:val="left"/>
      <w:pPr>
        <w:ind w:left="1440" w:hanging="360"/>
      </w:pPr>
      <w:rPr>
        <w:rFonts w:ascii="Symbol" w:hAnsi="Symbol" w:hint="default"/>
        <w:sz w:val="18"/>
        <w:szCs w:val="1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71653F5"/>
    <w:multiLevelType w:val="hybridMultilevel"/>
    <w:tmpl w:val="383480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E5A067F"/>
    <w:multiLevelType w:val="hybridMultilevel"/>
    <w:tmpl w:val="DE8078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EB12172"/>
    <w:multiLevelType w:val="hybridMultilevel"/>
    <w:tmpl w:val="563C952C"/>
    <w:lvl w:ilvl="0" w:tplc="511CF504">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6"/>
  </w:num>
  <w:num w:numId="4">
    <w:abstractNumId w:val="4"/>
  </w:num>
  <w:num w:numId="5">
    <w:abstractNumId w:val="13"/>
  </w:num>
  <w:num w:numId="6">
    <w:abstractNumId w:val="15"/>
  </w:num>
  <w:num w:numId="7">
    <w:abstractNumId w:val="23"/>
  </w:num>
  <w:num w:numId="8">
    <w:abstractNumId w:val="34"/>
  </w:num>
  <w:num w:numId="9">
    <w:abstractNumId w:val="22"/>
  </w:num>
  <w:num w:numId="10">
    <w:abstractNumId w:val="32"/>
  </w:num>
  <w:num w:numId="11">
    <w:abstractNumId w:val="28"/>
  </w:num>
  <w:num w:numId="12">
    <w:abstractNumId w:val="10"/>
  </w:num>
  <w:num w:numId="13">
    <w:abstractNumId w:val="19"/>
  </w:num>
  <w:num w:numId="14">
    <w:abstractNumId w:val="37"/>
  </w:num>
  <w:num w:numId="15">
    <w:abstractNumId w:val="12"/>
  </w:num>
  <w:num w:numId="16">
    <w:abstractNumId w:val="11"/>
  </w:num>
  <w:num w:numId="17">
    <w:abstractNumId w:val="17"/>
  </w:num>
  <w:num w:numId="18">
    <w:abstractNumId w:val="27"/>
  </w:num>
  <w:num w:numId="19">
    <w:abstractNumId w:val="30"/>
  </w:num>
  <w:num w:numId="20">
    <w:abstractNumId w:val="7"/>
  </w:num>
  <w:num w:numId="21">
    <w:abstractNumId w:val="9"/>
  </w:num>
  <w:num w:numId="22">
    <w:abstractNumId w:val="35"/>
  </w:num>
  <w:num w:numId="23">
    <w:abstractNumId w:val="2"/>
  </w:num>
  <w:num w:numId="24">
    <w:abstractNumId w:val="6"/>
  </w:num>
  <w:num w:numId="25">
    <w:abstractNumId w:val="33"/>
  </w:num>
  <w:num w:numId="26">
    <w:abstractNumId w:val="36"/>
  </w:num>
  <w:num w:numId="27">
    <w:abstractNumId w:val="31"/>
  </w:num>
  <w:num w:numId="28">
    <w:abstractNumId w:val="25"/>
  </w:num>
  <w:num w:numId="29">
    <w:abstractNumId w:val="0"/>
  </w:num>
  <w:num w:numId="30">
    <w:abstractNumId w:val="40"/>
  </w:num>
  <w:num w:numId="31">
    <w:abstractNumId w:val="21"/>
  </w:num>
  <w:num w:numId="32">
    <w:abstractNumId w:val="20"/>
  </w:num>
  <w:num w:numId="33">
    <w:abstractNumId w:val="24"/>
  </w:num>
  <w:num w:numId="34">
    <w:abstractNumId w:val="38"/>
  </w:num>
  <w:num w:numId="35">
    <w:abstractNumId w:val="26"/>
  </w:num>
  <w:num w:numId="36">
    <w:abstractNumId w:val="39"/>
  </w:num>
  <w:num w:numId="37">
    <w:abstractNumId w:val="1"/>
  </w:num>
  <w:num w:numId="38">
    <w:abstractNumId w:val="5"/>
  </w:num>
  <w:num w:numId="39">
    <w:abstractNumId w:val="29"/>
  </w:num>
  <w:num w:numId="40">
    <w:abstractNumId w:val="8"/>
  </w:num>
  <w:num w:numId="41">
    <w:abstractNumId w:val="3"/>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0MTExtDAwNDY3NDBU0lEKTi0uzszPAykwqgUAxgZ3rSwAAAA="/>
  </w:docVars>
  <w:rsids>
    <w:rsidRoot w:val="00E65258"/>
    <w:rsid w:val="00002DBB"/>
    <w:rsid w:val="00012BC3"/>
    <w:rsid w:val="00014880"/>
    <w:rsid w:val="00014DAB"/>
    <w:rsid w:val="000176EC"/>
    <w:rsid w:val="00023D00"/>
    <w:rsid w:val="00034776"/>
    <w:rsid w:val="000536A7"/>
    <w:rsid w:val="00074CEC"/>
    <w:rsid w:val="00075220"/>
    <w:rsid w:val="00080286"/>
    <w:rsid w:val="00081C0F"/>
    <w:rsid w:val="00086C34"/>
    <w:rsid w:val="000A1E00"/>
    <w:rsid w:val="000A5833"/>
    <w:rsid w:val="000B160C"/>
    <w:rsid w:val="000B2AE6"/>
    <w:rsid w:val="000C46E7"/>
    <w:rsid w:val="000D2BCF"/>
    <w:rsid w:val="000D4920"/>
    <w:rsid w:val="000D4D40"/>
    <w:rsid w:val="000D7935"/>
    <w:rsid w:val="000E46B4"/>
    <w:rsid w:val="000E4F4E"/>
    <w:rsid w:val="000F14D9"/>
    <w:rsid w:val="000F2C73"/>
    <w:rsid w:val="000F4F99"/>
    <w:rsid w:val="00100919"/>
    <w:rsid w:val="001015C9"/>
    <w:rsid w:val="0010750F"/>
    <w:rsid w:val="00111119"/>
    <w:rsid w:val="00115F0B"/>
    <w:rsid w:val="0013493D"/>
    <w:rsid w:val="00134F14"/>
    <w:rsid w:val="00135B40"/>
    <w:rsid w:val="00156F4D"/>
    <w:rsid w:val="00160331"/>
    <w:rsid w:val="001611C6"/>
    <w:rsid w:val="001626C2"/>
    <w:rsid w:val="00164DD3"/>
    <w:rsid w:val="00165DD2"/>
    <w:rsid w:val="001707E9"/>
    <w:rsid w:val="0017122E"/>
    <w:rsid w:val="0018106E"/>
    <w:rsid w:val="00182A9B"/>
    <w:rsid w:val="00183321"/>
    <w:rsid w:val="00197402"/>
    <w:rsid w:val="001B1C07"/>
    <w:rsid w:val="001B664C"/>
    <w:rsid w:val="001D5CCE"/>
    <w:rsid w:val="001F2771"/>
    <w:rsid w:val="00202A8B"/>
    <w:rsid w:val="0023015D"/>
    <w:rsid w:val="00230861"/>
    <w:rsid w:val="00236EE4"/>
    <w:rsid w:val="00240793"/>
    <w:rsid w:val="00264274"/>
    <w:rsid w:val="00264F6A"/>
    <w:rsid w:val="0026766E"/>
    <w:rsid w:val="0027050D"/>
    <w:rsid w:val="0027179A"/>
    <w:rsid w:val="00275403"/>
    <w:rsid w:val="00275A8F"/>
    <w:rsid w:val="0028337F"/>
    <w:rsid w:val="0028572D"/>
    <w:rsid w:val="002A1045"/>
    <w:rsid w:val="002B487D"/>
    <w:rsid w:val="002D1537"/>
    <w:rsid w:val="002E312E"/>
    <w:rsid w:val="002F211B"/>
    <w:rsid w:val="003119F2"/>
    <w:rsid w:val="00313690"/>
    <w:rsid w:val="00321FCE"/>
    <w:rsid w:val="00334DDA"/>
    <w:rsid w:val="003449E1"/>
    <w:rsid w:val="00361F1C"/>
    <w:rsid w:val="003715BE"/>
    <w:rsid w:val="00371D71"/>
    <w:rsid w:val="00374C39"/>
    <w:rsid w:val="00376EEF"/>
    <w:rsid w:val="00381FEA"/>
    <w:rsid w:val="003852E9"/>
    <w:rsid w:val="003875BC"/>
    <w:rsid w:val="00397AC9"/>
    <w:rsid w:val="003A4B46"/>
    <w:rsid w:val="003B4FEC"/>
    <w:rsid w:val="003C69E7"/>
    <w:rsid w:val="003D3280"/>
    <w:rsid w:val="003D3FE4"/>
    <w:rsid w:val="003E4CBB"/>
    <w:rsid w:val="003E4E93"/>
    <w:rsid w:val="003F76C6"/>
    <w:rsid w:val="00405294"/>
    <w:rsid w:val="00427A53"/>
    <w:rsid w:val="00446478"/>
    <w:rsid w:val="004475E2"/>
    <w:rsid w:val="0045363A"/>
    <w:rsid w:val="0045456C"/>
    <w:rsid w:val="004577EA"/>
    <w:rsid w:val="00464E84"/>
    <w:rsid w:val="00474336"/>
    <w:rsid w:val="0047640B"/>
    <w:rsid w:val="00476DDD"/>
    <w:rsid w:val="004907C2"/>
    <w:rsid w:val="0049301E"/>
    <w:rsid w:val="004A48E4"/>
    <w:rsid w:val="004C0BED"/>
    <w:rsid w:val="004C3BCA"/>
    <w:rsid w:val="004D2FBC"/>
    <w:rsid w:val="004F5F11"/>
    <w:rsid w:val="00525277"/>
    <w:rsid w:val="0052725C"/>
    <w:rsid w:val="00532C95"/>
    <w:rsid w:val="005333B9"/>
    <w:rsid w:val="00534886"/>
    <w:rsid w:val="00537EA0"/>
    <w:rsid w:val="00551C37"/>
    <w:rsid w:val="005601D4"/>
    <w:rsid w:val="00562D27"/>
    <w:rsid w:val="0058163E"/>
    <w:rsid w:val="0058507E"/>
    <w:rsid w:val="005858D2"/>
    <w:rsid w:val="00590927"/>
    <w:rsid w:val="00594A98"/>
    <w:rsid w:val="005965D7"/>
    <w:rsid w:val="005A1323"/>
    <w:rsid w:val="005A1CBC"/>
    <w:rsid w:val="005A5034"/>
    <w:rsid w:val="005A5804"/>
    <w:rsid w:val="005B0077"/>
    <w:rsid w:val="005B7C8A"/>
    <w:rsid w:val="005D13EB"/>
    <w:rsid w:val="005D282D"/>
    <w:rsid w:val="005E07A2"/>
    <w:rsid w:val="006002E8"/>
    <w:rsid w:val="00601ACD"/>
    <w:rsid w:val="006044B8"/>
    <w:rsid w:val="006424BA"/>
    <w:rsid w:val="00642E73"/>
    <w:rsid w:val="006437C5"/>
    <w:rsid w:val="006448D4"/>
    <w:rsid w:val="00656210"/>
    <w:rsid w:val="00660898"/>
    <w:rsid w:val="006643AF"/>
    <w:rsid w:val="00670725"/>
    <w:rsid w:val="00671A6E"/>
    <w:rsid w:val="00672AA1"/>
    <w:rsid w:val="006815E4"/>
    <w:rsid w:val="00687998"/>
    <w:rsid w:val="006928DC"/>
    <w:rsid w:val="00693ACD"/>
    <w:rsid w:val="00694B70"/>
    <w:rsid w:val="006B2FE1"/>
    <w:rsid w:val="006D6951"/>
    <w:rsid w:val="006F1FCE"/>
    <w:rsid w:val="006F7945"/>
    <w:rsid w:val="0072037C"/>
    <w:rsid w:val="0073522E"/>
    <w:rsid w:val="0073670F"/>
    <w:rsid w:val="00743BB8"/>
    <w:rsid w:val="00746D6D"/>
    <w:rsid w:val="007471B8"/>
    <w:rsid w:val="00754BE1"/>
    <w:rsid w:val="00763046"/>
    <w:rsid w:val="0078149C"/>
    <w:rsid w:val="00784CDB"/>
    <w:rsid w:val="00797A60"/>
    <w:rsid w:val="007A63F1"/>
    <w:rsid w:val="007C7534"/>
    <w:rsid w:val="007E64AE"/>
    <w:rsid w:val="007F09BA"/>
    <w:rsid w:val="007F43DC"/>
    <w:rsid w:val="008046C1"/>
    <w:rsid w:val="008051D8"/>
    <w:rsid w:val="00807F6F"/>
    <w:rsid w:val="008116D0"/>
    <w:rsid w:val="00816A29"/>
    <w:rsid w:val="0082292E"/>
    <w:rsid w:val="00822EEC"/>
    <w:rsid w:val="00823AA2"/>
    <w:rsid w:val="008259AA"/>
    <w:rsid w:val="00831B18"/>
    <w:rsid w:val="00836FF9"/>
    <w:rsid w:val="00842591"/>
    <w:rsid w:val="00847281"/>
    <w:rsid w:val="008655A4"/>
    <w:rsid w:val="00867843"/>
    <w:rsid w:val="008777C9"/>
    <w:rsid w:val="008847B3"/>
    <w:rsid w:val="008861A8"/>
    <w:rsid w:val="00891248"/>
    <w:rsid w:val="008A2689"/>
    <w:rsid w:val="008B7590"/>
    <w:rsid w:val="008C041C"/>
    <w:rsid w:val="008C74FE"/>
    <w:rsid w:val="008D49CB"/>
    <w:rsid w:val="008E395B"/>
    <w:rsid w:val="008F0A24"/>
    <w:rsid w:val="008F37EA"/>
    <w:rsid w:val="008F4F1F"/>
    <w:rsid w:val="00911E8F"/>
    <w:rsid w:val="00912041"/>
    <w:rsid w:val="00917A79"/>
    <w:rsid w:val="009253C3"/>
    <w:rsid w:val="009311E6"/>
    <w:rsid w:val="00942D7C"/>
    <w:rsid w:val="00954079"/>
    <w:rsid w:val="00961A2D"/>
    <w:rsid w:val="009627BC"/>
    <w:rsid w:val="00966FBF"/>
    <w:rsid w:val="0099379B"/>
    <w:rsid w:val="009A3848"/>
    <w:rsid w:val="009B089E"/>
    <w:rsid w:val="009B7F19"/>
    <w:rsid w:val="009C2617"/>
    <w:rsid w:val="009C55FB"/>
    <w:rsid w:val="009C6B2F"/>
    <w:rsid w:val="009E7305"/>
    <w:rsid w:val="009F02FA"/>
    <w:rsid w:val="009F114E"/>
    <w:rsid w:val="00A003C8"/>
    <w:rsid w:val="00A124CC"/>
    <w:rsid w:val="00A27658"/>
    <w:rsid w:val="00A33188"/>
    <w:rsid w:val="00A4274B"/>
    <w:rsid w:val="00A52AB7"/>
    <w:rsid w:val="00A6571E"/>
    <w:rsid w:val="00A65AFC"/>
    <w:rsid w:val="00A67019"/>
    <w:rsid w:val="00A70A2D"/>
    <w:rsid w:val="00A77B3A"/>
    <w:rsid w:val="00A77EFF"/>
    <w:rsid w:val="00AA30DF"/>
    <w:rsid w:val="00AA6F9F"/>
    <w:rsid w:val="00AB3618"/>
    <w:rsid w:val="00AB7DF8"/>
    <w:rsid w:val="00AC0624"/>
    <w:rsid w:val="00AC1D0B"/>
    <w:rsid w:val="00AC6D75"/>
    <w:rsid w:val="00AD5367"/>
    <w:rsid w:val="00AD63B0"/>
    <w:rsid w:val="00AD7945"/>
    <w:rsid w:val="00AE07C8"/>
    <w:rsid w:val="00AE3854"/>
    <w:rsid w:val="00B01207"/>
    <w:rsid w:val="00B056F7"/>
    <w:rsid w:val="00B1355B"/>
    <w:rsid w:val="00B21184"/>
    <w:rsid w:val="00B413D0"/>
    <w:rsid w:val="00B4326E"/>
    <w:rsid w:val="00B5034B"/>
    <w:rsid w:val="00B51810"/>
    <w:rsid w:val="00B51DC2"/>
    <w:rsid w:val="00B5275A"/>
    <w:rsid w:val="00B5416D"/>
    <w:rsid w:val="00B5498A"/>
    <w:rsid w:val="00B5642B"/>
    <w:rsid w:val="00B660FE"/>
    <w:rsid w:val="00B67E67"/>
    <w:rsid w:val="00BA518D"/>
    <w:rsid w:val="00BA700F"/>
    <w:rsid w:val="00BA70E8"/>
    <w:rsid w:val="00BB1EB0"/>
    <w:rsid w:val="00BB6F20"/>
    <w:rsid w:val="00BC4071"/>
    <w:rsid w:val="00BC6C73"/>
    <w:rsid w:val="00BD28C8"/>
    <w:rsid w:val="00BD3B5C"/>
    <w:rsid w:val="00BD3C13"/>
    <w:rsid w:val="00BD453B"/>
    <w:rsid w:val="00BD6AB8"/>
    <w:rsid w:val="00BD712A"/>
    <w:rsid w:val="00BE7DB2"/>
    <w:rsid w:val="00C10F33"/>
    <w:rsid w:val="00C144CB"/>
    <w:rsid w:val="00C222B6"/>
    <w:rsid w:val="00C22D35"/>
    <w:rsid w:val="00C44BE3"/>
    <w:rsid w:val="00C459AA"/>
    <w:rsid w:val="00C50CF8"/>
    <w:rsid w:val="00C5560B"/>
    <w:rsid w:val="00C55C9D"/>
    <w:rsid w:val="00C57DB4"/>
    <w:rsid w:val="00C61AF7"/>
    <w:rsid w:val="00C64370"/>
    <w:rsid w:val="00C6602C"/>
    <w:rsid w:val="00C73B6B"/>
    <w:rsid w:val="00C73F17"/>
    <w:rsid w:val="00C76F61"/>
    <w:rsid w:val="00C838C4"/>
    <w:rsid w:val="00C85880"/>
    <w:rsid w:val="00CA6FFA"/>
    <w:rsid w:val="00CB6513"/>
    <w:rsid w:val="00CB6E5E"/>
    <w:rsid w:val="00CE151C"/>
    <w:rsid w:val="00CE7E5B"/>
    <w:rsid w:val="00D02220"/>
    <w:rsid w:val="00D030C0"/>
    <w:rsid w:val="00D10515"/>
    <w:rsid w:val="00D10557"/>
    <w:rsid w:val="00D208F4"/>
    <w:rsid w:val="00D30414"/>
    <w:rsid w:val="00D32903"/>
    <w:rsid w:val="00D33C09"/>
    <w:rsid w:val="00D37A26"/>
    <w:rsid w:val="00D466C3"/>
    <w:rsid w:val="00D46DC3"/>
    <w:rsid w:val="00D478E0"/>
    <w:rsid w:val="00D545D6"/>
    <w:rsid w:val="00D5669C"/>
    <w:rsid w:val="00D65E88"/>
    <w:rsid w:val="00D746C4"/>
    <w:rsid w:val="00D80CC3"/>
    <w:rsid w:val="00D853E5"/>
    <w:rsid w:val="00D96490"/>
    <w:rsid w:val="00DB5949"/>
    <w:rsid w:val="00DC31F7"/>
    <w:rsid w:val="00DC3698"/>
    <w:rsid w:val="00DD120D"/>
    <w:rsid w:val="00DD297C"/>
    <w:rsid w:val="00DD33A9"/>
    <w:rsid w:val="00DD411F"/>
    <w:rsid w:val="00DE1AE2"/>
    <w:rsid w:val="00DE34BA"/>
    <w:rsid w:val="00DE789A"/>
    <w:rsid w:val="00DF2BCC"/>
    <w:rsid w:val="00DF6800"/>
    <w:rsid w:val="00E02F5A"/>
    <w:rsid w:val="00E0579B"/>
    <w:rsid w:val="00E06AEB"/>
    <w:rsid w:val="00E10E01"/>
    <w:rsid w:val="00E24D57"/>
    <w:rsid w:val="00E25076"/>
    <w:rsid w:val="00E353A7"/>
    <w:rsid w:val="00E3688E"/>
    <w:rsid w:val="00E453B9"/>
    <w:rsid w:val="00E50F0E"/>
    <w:rsid w:val="00E64CF0"/>
    <w:rsid w:val="00E65258"/>
    <w:rsid w:val="00E725A1"/>
    <w:rsid w:val="00E75016"/>
    <w:rsid w:val="00E97525"/>
    <w:rsid w:val="00EC2692"/>
    <w:rsid w:val="00EC3C0C"/>
    <w:rsid w:val="00ED1603"/>
    <w:rsid w:val="00ED19A3"/>
    <w:rsid w:val="00ED3862"/>
    <w:rsid w:val="00ED68C0"/>
    <w:rsid w:val="00EE027B"/>
    <w:rsid w:val="00EF2048"/>
    <w:rsid w:val="00EF3643"/>
    <w:rsid w:val="00EF3A3E"/>
    <w:rsid w:val="00EF6149"/>
    <w:rsid w:val="00EF7F2F"/>
    <w:rsid w:val="00F1117C"/>
    <w:rsid w:val="00F2278D"/>
    <w:rsid w:val="00F22B7C"/>
    <w:rsid w:val="00F267BE"/>
    <w:rsid w:val="00F26A35"/>
    <w:rsid w:val="00F27091"/>
    <w:rsid w:val="00F424AD"/>
    <w:rsid w:val="00F54EA7"/>
    <w:rsid w:val="00F64584"/>
    <w:rsid w:val="00F703CC"/>
    <w:rsid w:val="00F71CCC"/>
    <w:rsid w:val="00F855CF"/>
    <w:rsid w:val="00F91C8E"/>
    <w:rsid w:val="00F97C69"/>
    <w:rsid w:val="00FA43DB"/>
    <w:rsid w:val="00FA4A22"/>
    <w:rsid w:val="00FB1FFF"/>
    <w:rsid w:val="00FB23F8"/>
    <w:rsid w:val="00FB4E58"/>
    <w:rsid w:val="00FB5614"/>
    <w:rsid w:val="00FB5AFA"/>
    <w:rsid w:val="00FC79F0"/>
    <w:rsid w:val="00FD6EA5"/>
    <w:rsid w:val="00FE3D3D"/>
    <w:rsid w:val="00FF5361"/>
    <w:rsid w:val="00FF58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634A1E-7638-435F-83D2-49B41271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02C"/>
    <w:pPr>
      <w:bidi/>
      <w:spacing w:after="0" w:line="240" w:lineRule="auto"/>
    </w:pPr>
    <w:rPr>
      <w:rFonts w:ascii="Calibri" w:eastAsia="Times New Roman" w:hAnsi="Calibri" w:cs="Times New Roman"/>
      <w:sz w:val="24"/>
      <w:szCs w:val="24"/>
      <w:lang w:val="en-US" w:bidi="ar-DZ"/>
    </w:rPr>
  </w:style>
  <w:style w:type="paragraph" w:styleId="Heading1">
    <w:name w:val="heading 1"/>
    <w:basedOn w:val="Normal"/>
    <w:next w:val="Normal"/>
    <w:link w:val="Heading1Char"/>
    <w:uiPriority w:val="9"/>
    <w:qFormat/>
    <w:rsid w:val="00847281"/>
    <w:pPr>
      <w:keepNext/>
      <w:keepLines/>
      <w:bidi w:val="0"/>
      <w:spacing w:before="240" w:line="259" w:lineRule="auto"/>
      <w:outlineLvl w:val="0"/>
    </w:pPr>
    <w:rPr>
      <w:rFonts w:asciiTheme="majorHAnsi" w:eastAsiaTheme="majorEastAsia" w:hAnsiTheme="majorHAnsi" w:cstheme="majorBidi"/>
      <w:color w:val="2E74B5" w:themeColor="accent1" w:themeShade="BF"/>
      <w:sz w:val="32"/>
      <w:szCs w:val="32"/>
      <w:lang w:val="fr-FR" w:eastAsia="fr-F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A1CBC"/>
    <w:pPr>
      <w:bidi w:val="0"/>
      <w:spacing w:after="120" w:line="276" w:lineRule="auto"/>
    </w:pPr>
    <w:rPr>
      <w:rFonts w:eastAsia="Calibri"/>
      <w:sz w:val="22"/>
      <w:szCs w:val="22"/>
      <w:lang w:val="x-none" w:bidi="ar-SA"/>
    </w:rPr>
  </w:style>
  <w:style w:type="character" w:customStyle="1" w:styleId="BodyTextChar">
    <w:name w:val="Body Text Char"/>
    <w:basedOn w:val="DefaultParagraphFont"/>
    <w:link w:val="BodyText"/>
    <w:uiPriority w:val="99"/>
    <w:rsid w:val="005A1CBC"/>
    <w:rPr>
      <w:rFonts w:ascii="Calibri" w:eastAsia="Calibri" w:hAnsi="Calibri" w:cs="Times New Roman"/>
      <w:lang w:val="x-none"/>
    </w:rPr>
  </w:style>
  <w:style w:type="paragraph" w:styleId="Header">
    <w:name w:val="header"/>
    <w:basedOn w:val="Normal"/>
    <w:link w:val="HeaderChar"/>
    <w:uiPriority w:val="99"/>
    <w:unhideWhenUsed/>
    <w:rsid w:val="0058163E"/>
    <w:pPr>
      <w:tabs>
        <w:tab w:val="center" w:pos="4536"/>
        <w:tab w:val="right" w:pos="9072"/>
      </w:tabs>
    </w:pPr>
  </w:style>
  <w:style w:type="character" w:customStyle="1" w:styleId="HeaderChar">
    <w:name w:val="Header Char"/>
    <w:basedOn w:val="DefaultParagraphFont"/>
    <w:link w:val="Header"/>
    <w:uiPriority w:val="99"/>
    <w:rsid w:val="0058163E"/>
    <w:rPr>
      <w:rFonts w:ascii="Calibri" w:eastAsia="Times New Roman" w:hAnsi="Calibri" w:cs="Times New Roman"/>
      <w:sz w:val="24"/>
      <w:szCs w:val="24"/>
      <w:lang w:val="en-US" w:bidi="ar-DZ"/>
    </w:rPr>
  </w:style>
  <w:style w:type="paragraph" w:styleId="Footer">
    <w:name w:val="footer"/>
    <w:basedOn w:val="Normal"/>
    <w:link w:val="FooterChar"/>
    <w:uiPriority w:val="99"/>
    <w:unhideWhenUsed/>
    <w:rsid w:val="0058163E"/>
    <w:pPr>
      <w:tabs>
        <w:tab w:val="center" w:pos="4536"/>
        <w:tab w:val="right" w:pos="9072"/>
      </w:tabs>
    </w:pPr>
  </w:style>
  <w:style w:type="character" w:customStyle="1" w:styleId="FooterChar">
    <w:name w:val="Footer Char"/>
    <w:basedOn w:val="DefaultParagraphFont"/>
    <w:link w:val="Footer"/>
    <w:uiPriority w:val="99"/>
    <w:rsid w:val="0058163E"/>
    <w:rPr>
      <w:rFonts w:ascii="Calibri" w:eastAsia="Times New Roman" w:hAnsi="Calibri" w:cs="Times New Roman"/>
      <w:sz w:val="24"/>
      <w:szCs w:val="24"/>
      <w:lang w:val="en-US" w:bidi="ar-DZ"/>
    </w:rPr>
  </w:style>
  <w:style w:type="character" w:customStyle="1" w:styleId="Heading1Char">
    <w:name w:val="Heading 1 Char"/>
    <w:basedOn w:val="DefaultParagraphFont"/>
    <w:link w:val="Heading1"/>
    <w:uiPriority w:val="9"/>
    <w:rsid w:val="00847281"/>
    <w:rPr>
      <w:rFonts w:asciiTheme="majorHAnsi" w:eastAsiaTheme="majorEastAsia" w:hAnsiTheme="majorHAnsi" w:cstheme="majorBidi"/>
      <w:color w:val="2E74B5" w:themeColor="accent1" w:themeShade="BF"/>
      <w:sz w:val="32"/>
      <w:szCs w:val="32"/>
      <w:lang w:eastAsia="fr-FR"/>
    </w:rPr>
  </w:style>
  <w:style w:type="character" w:styleId="Hyperlink">
    <w:name w:val="Hyperlink"/>
    <w:basedOn w:val="DefaultParagraphFont"/>
    <w:uiPriority w:val="99"/>
    <w:unhideWhenUsed/>
    <w:rsid w:val="007F09BA"/>
    <w:rPr>
      <w:color w:val="0563C1" w:themeColor="hyperlink"/>
      <w:u w:val="single"/>
    </w:rPr>
  </w:style>
  <w:style w:type="paragraph" w:styleId="ListParagraph">
    <w:name w:val="List Paragraph"/>
    <w:basedOn w:val="Normal"/>
    <w:uiPriority w:val="34"/>
    <w:qFormat/>
    <w:rsid w:val="00156F4D"/>
    <w:pPr>
      <w:ind w:left="720"/>
      <w:contextualSpacing/>
    </w:pPr>
  </w:style>
  <w:style w:type="table" w:styleId="TableGrid">
    <w:name w:val="Table Grid"/>
    <w:basedOn w:val="TableNormal"/>
    <w:uiPriority w:val="39"/>
    <w:rsid w:val="00FE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78E0"/>
    <w:pPr>
      <w:bidi w:val="0"/>
      <w:spacing w:before="100" w:beforeAutospacing="1" w:after="100" w:afterAutospacing="1"/>
    </w:pPr>
    <w:rPr>
      <w:rFonts w:ascii="Times New Roman" w:hAnsi="Times New Roman"/>
      <w:lang w:val="fr-FR" w:eastAsia="fr-FR" w:bidi="ar-SA"/>
    </w:rPr>
  </w:style>
  <w:style w:type="character" w:styleId="Strong">
    <w:name w:val="Strong"/>
    <w:basedOn w:val="DefaultParagraphFont"/>
    <w:uiPriority w:val="22"/>
    <w:qFormat/>
    <w:rsid w:val="00D478E0"/>
    <w:rPr>
      <w:b/>
      <w:bCs/>
    </w:rPr>
  </w:style>
  <w:style w:type="character" w:styleId="Emphasis">
    <w:name w:val="Emphasis"/>
    <w:basedOn w:val="DefaultParagraphFont"/>
    <w:uiPriority w:val="20"/>
    <w:qFormat/>
    <w:rsid w:val="00D478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56213">
      <w:bodyDiv w:val="1"/>
      <w:marLeft w:val="0"/>
      <w:marRight w:val="0"/>
      <w:marTop w:val="0"/>
      <w:marBottom w:val="0"/>
      <w:divBdr>
        <w:top w:val="none" w:sz="0" w:space="0" w:color="auto"/>
        <w:left w:val="none" w:sz="0" w:space="0" w:color="auto"/>
        <w:bottom w:val="none" w:sz="0" w:space="0" w:color="auto"/>
        <w:right w:val="none" w:sz="0" w:space="0" w:color="auto"/>
      </w:divBdr>
    </w:div>
    <w:div w:id="597101026">
      <w:bodyDiv w:val="1"/>
      <w:marLeft w:val="0"/>
      <w:marRight w:val="0"/>
      <w:marTop w:val="0"/>
      <w:marBottom w:val="0"/>
      <w:divBdr>
        <w:top w:val="none" w:sz="0" w:space="0" w:color="auto"/>
        <w:left w:val="none" w:sz="0" w:space="0" w:color="auto"/>
        <w:bottom w:val="none" w:sz="0" w:space="0" w:color="auto"/>
        <w:right w:val="none" w:sz="0" w:space="0" w:color="auto"/>
      </w:divBdr>
    </w:div>
    <w:div w:id="1583753143">
      <w:bodyDiv w:val="1"/>
      <w:marLeft w:val="0"/>
      <w:marRight w:val="0"/>
      <w:marTop w:val="0"/>
      <w:marBottom w:val="0"/>
      <w:divBdr>
        <w:top w:val="none" w:sz="0" w:space="0" w:color="auto"/>
        <w:left w:val="none" w:sz="0" w:space="0" w:color="auto"/>
        <w:bottom w:val="none" w:sz="0" w:space="0" w:color="auto"/>
        <w:right w:val="none" w:sz="0" w:space="0" w:color="auto"/>
      </w:divBdr>
    </w:div>
    <w:div w:id="20645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54AC0-FDE5-4BBD-BAD6-117682F76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Pages>
  <Words>4873</Words>
  <Characters>26804</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OUAHMICHE</dc:creator>
  <cp:keywords/>
  <dc:description/>
  <cp:lastModifiedBy>Pcclick</cp:lastModifiedBy>
  <cp:revision>238</cp:revision>
  <dcterms:created xsi:type="dcterms:W3CDTF">2022-10-11T09:21:00Z</dcterms:created>
  <dcterms:modified xsi:type="dcterms:W3CDTF">2023-08-01T11:21:00Z</dcterms:modified>
</cp:coreProperties>
</file>